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08" w:rsidRPr="00710C91" w:rsidRDefault="00BE05E4" w:rsidP="00710C91">
      <w:pPr>
        <w:bidi w:val="0"/>
        <w:spacing w:after="0" w:line="240" w:lineRule="auto"/>
        <w:rPr>
          <w:rFonts w:asciiTheme="minorBidi" w:hAnsiTheme="minorBidi"/>
          <w:sz w:val="20"/>
          <w:szCs w:val="20"/>
        </w:rPr>
      </w:pPr>
      <w:r w:rsidRPr="00710C91">
        <w:rPr>
          <w:rFonts w:asciiTheme="minorBidi" w:hAnsiTheme="minorBidi"/>
          <w:sz w:val="20"/>
          <w:szCs w:val="20"/>
        </w:rPr>
        <w:t xml:space="preserve">N00014-20-S-B001  </w:t>
      </w:r>
    </w:p>
    <w:p w:rsidR="00BE05E4" w:rsidRPr="00710C91" w:rsidRDefault="00BE05E4" w:rsidP="00710C91">
      <w:pPr>
        <w:bidi w:val="0"/>
        <w:spacing w:after="0" w:line="240" w:lineRule="auto"/>
        <w:rPr>
          <w:rFonts w:asciiTheme="minorBidi" w:hAnsiTheme="minorBidi"/>
          <w:sz w:val="20"/>
          <w:szCs w:val="20"/>
        </w:rPr>
      </w:pPr>
    </w:p>
    <w:p w:rsidR="00BE05E4" w:rsidRPr="00710C91" w:rsidRDefault="00BE05E4" w:rsidP="00710C91">
      <w:pPr>
        <w:bidi w:val="0"/>
        <w:spacing w:after="0" w:line="240" w:lineRule="auto"/>
        <w:rPr>
          <w:rFonts w:asciiTheme="minorBidi" w:hAnsiTheme="minorBidi"/>
          <w:sz w:val="20"/>
          <w:szCs w:val="20"/>
        </w:rPr>
      </w:pPr>
      <w:r w:rsidRPr="00710C91">
        <w:rPr>
          <w:rFonts w:asciiTheme="minorBidi" w:hAnsiTheme="minorBidi"/>
          <w:sz w:val="20"/>
          <w:szCs w:val="20"/>
        </w:rPr>
        <w:t xml:space="preserve">ONR topics </w:t>
      </w:r>
      <w:proofErr w:type="gramStart"/>
      <w:r w:rsidRPr="00710C91">
        <w:rPr>
          <w:rFonts w:asciiTheme="minorBidi" w:hAnsiTheme="minorBidi"/>
          <w:sz w:val="20"/>
          <w:szCs w:val="20"/>
        </w:rPr>
        <w:t>can be found</w:t>
      </w:r>
      <w:proofErr w:type="gramEnd"/>
      <w:r w:rsidRPr="00710C91">
        <w:rPr>
          <w:rFonts w:asciiTheme="minorBidi" w:hAnsiTheme="minorBidi"/>
          <w:sz w:val="20"/>
          <w:szCs w:val="20"/>
        </w:rPr>
        <w:t xml:space="preserve"> here: </w:t>
      </w:r>
      <w:hyperlink r:id="rId4" w:history="1">
        <w:r w:rsidRPr="00710C91">
          <w:rPr>
            <w:rStyle w:val="Hyperlink"/>
            <w:rFonts w:asciiTheme="minorBidi" w:hAnsiTheme="minorBidi"/>
            <w:sz w:val="20"/>
            <w:szCs w:val="20"/>
          </w:rPr>
          <w:t>https://www.onr.navy.mil/our-research/technology-areas</w:t>
        </w:r>
      </w:hyperlink>
      <w:r w:rsidRPr="00710C91">
        <w:rPr>
          <w:rFonts w:asciiTheme="minorBidi" w:hAnsiTheme="minorBidi"/>
          <w:sz w:val="20"/>
          <w:szCs w:val="20"/>
        </w:rPr>
        <w:t xml:space="preserve"> </w:t>
      </w:r>
    </w:p>
    <w:p w:rsidR="00BE05E4" w:rsidRPr="00710C91" w:rsidRDefault="00BE05E4" w:rsidP="00710C91">
      <w:pPr>
        <w:bidi w:val="0"/>
        <w:spacing w:after="0" w:line="240" w:lineRule="auto"/>
        <w:rPr>
          <w:rFonts w:asciiTheme="minorBidi" w:hAnsiTheme="minorBidi"/>
          <w:sz w:val="20"/>
          <w:szCs w:val="20"/>
        </w:rPr>
      </w:pPr>
    </w:p>
    <w:p w:rsidR="00BE05E4"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 xml:space="preserve">Focus areas for MCWL experimentation include: </w:t>
      </w:r>
    </w:p>
    <w:p w:rsidR="00710C91" w:rsidRPr="00710C91" w:rsidRDefault="00710C91"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 xml:space="preserve">1. Expeditionary Logistics. Technologies to sustain distributed operations in austere and remote environments. </w:t>
      </w: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 xml:space="preserve"> </w:t>
      </w: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 xml:space="preserve">2. Interoperable Command and Control (C2) Systems. Technologies that enhance information sharing within the Marine Air Ground Task Force (MAGTF) and among Joint, Naval and Coalition forces that are Tactical Service Oriented Architecture (TSOA) compliant. </w:t>
      </w:r>
    </w:p>
    <w:p w:rsidR="00BE05E4" w:rsidRPr="00710C91" w:rsidRDefault="00BE05E4" w:rsidP="00710C91">
      <w:pPr>
        <w:bidi w:val="0"/>
        <w:spacing w:after="0" w:line="240" w:lineRule="auto"/>
        <w:rPr>
          <w:rFonts w:asciiTheme="minorBidi" w:hAnsiTheme="minorBidi"/>
          <w:sz w:val="20"/>
          <w:szCs w:val="20"/>
        </w:rPr>
      </w:pPr>
    </w:p>
    <w:p w:rsidR="00BE05E4" w:rsidRPr="00710C91" w:rsidRDefault="00BE05E4" w:rsidP="00710C91">
      <w:pPr>
        <w:bidi w:val="0"/>
        <w:spacing w:after="0" w:line="240" w:lineRule="auto"/>
        <w:rPr>
          <w:rFonts w:asciiTheme="minorBidi" w:hAnsiTheme="minorBidi"/>
          <w:sz w:val="20"/>
          <w:szCs w:val="20"/>
        </w:rPr>
      </w:pPr>
      <w:r w:rsidRPr="00710C91">
        <w:rPr>
          <w:rFonts w:asciiTheme="minorBidi" w:hAnsiTheme="minorBidi"/>
          <w:sz w:val="20"/>
          <w:szCs w:val="20"/>
        </w:rPr>
        <w:t>3. C2 Afloat or the Naval Operational Architecture. Technologies that integrate fleet and MAGTF tactical grids to command and control distributed operations afloat and ashore.</w:t>
      </w:r>
    </w:p>
    <w:p w:rsidR="00710C91" w:rsidRDefault="00710C91"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color w:val="auto"/>
          <w:sz w:val="20"/>
          <w:szCs w:val="20"/>
        </w:rPr>
      </w:pPr>
      <w:r w:rsidRPr="00710C91">
        <w:rPr>
          <w:rFonts w:asciiTheme="minorBidi" w:hAnsiTheme="minorBidi" w:cstheme="minorBidi"/>
          <w:sz w:val="20"/>
          <w:szCs w:val="20"/>
        </w:rPr>
        <w:t>4. Communications and Networking. Technologie</w:t>
      </w:r>
      <w:r w:rsidRPr="00710C91">
        <w:rPr>
          <w:rFonts w:asciiTheme="minorBidi" w:hAnsiTheme="minorBidi" w:cstheme="minorBidi"/>
          <w:sz w:val="20"/>
          <w:szCs w:val="20"/>
        </w:rPr>
        <w:t xml:space="preserve">s to improve secure information </w:t>
      </w:r>
      <w:r w:rsidRPr="00710C91">
        <w:rPr>
          <w:rFonts w:asciiTheme="minorBidi" w:hAnsiTheme="minorBidi" w:cstheme="minorBidi"/>
          <w:color w:val="auto"/>
          <w:sz w:val="20"/>
          <w:szCs w:val="20"/>
        </w:rPr>
        <w:t>exchange over the horizon and on the move.</w:t>
      </w:r>
    </w:p>
    <w:p w:rsidR="00BE05E4" w:rsidRPr="00710C91" w:rsidRDefault="00BE05E4" w:rsidP="00710C91">
      <w:pPr>
        <w:pStyle w:val="Default"/>
        <w:rPr>
          <w:rFonts w:asciiTheme="minorBidi" w:hAnsiTheme="minorBidi" w:cstheme="minorBidi"/>
          <w:color w:val="auto"/>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5. Lightening the Load. Technologies that reduce the size and weight of the total load of the MAGTF as well as the individual Marine.</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6. Counter Improvised Explosive Device (IED)/Mine. Technologies that enhance IED/mine detection, neutralization or pre- detonation.</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7. Persistent Intelligence, Surveillance and Reconnaissance (ISR). Technologies that enhance sensor acquisition, fusion and data distribution, technologies to maximize payload flexibility and endurance of unmanned systems.</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8. Urban Operations. Technologies that enable the ability to operate in densely populated cities.</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color w:val="auto"/>
          <w:sz w:val="20"/>
          <w:szCs w:val="20"/>
        </w:rPr>
      </w:pPr>
      <w:r w:rsidRPr="00710C91">
        <w:rPr>
          <w:rFonts w:asciiTheme="minorBidi" w:hAnsiTheme="minorBidi" w:cstheme="minorBidi"/>
          <w:sz w:val="20"/>
          <w:szCs w:val="20"/>
        </w:rPr>
        <w:t>9. Amphibious Operations Enablers. Technologies that</w:t>
      </w:r>
      <w:r w:rsidRPr="00710C91">
        <w:rPr>
          <w:rFonts w:asciiTheme="minorBidi" w:hAnsiTheme="minorBidi" w:cstheme="minorBidi"/>
          <w:sz w:val="20"/>
          <w:szCs w:val="20"/>
        </w:rPr>
        <w:t xml:space="preserve"> enhance the ability to operate </w:t>
      </w:r>
      <w:r w:rsidRPr="00710C91">
        <w:rPr>
          <w:rFonts w:asciiTheme="minorBidi" w:hAnsiTheme="minorBidi" w:cstheme="minorBidi"/>
          <w:color w:val="auto"/>
          <w:sz w:val="20"/>
          <w:szCs w:val="20"/>
        </w:rPr>
        <w:t>from ship to shore.</w:t>
      </w:r>
    </w:p>
    <w:p w:rsidR="00BE05E4" w:rsidRPr="00710C91" w:rsidRDefault="00BE05E4" w:rsidP="00710C91">
      <w:pPr>
        <w:pStyle w:val="Default"/>
        <w:rPr>
          <w:rFonts w:asciiTheme="minorBidi" w:hAnsiTheme="minorBidi" w:cstheme="minorBidi"/>
          <w:color w:val="auto"/>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10. Precision Fires.</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 xml:space="preserve">11. Cyberspace Operations. Technologies to defend </w:t>
      </w:r>
      <w:proofErr w:type="gramStart"/>
      <w:r w:rsidRPr="00710C91">
        <w:rPr>
          <w:rFonts w:asciiTheme="minorBidi" w:hAnsiTheme="minorBidi" w:cstheme="minorBidi"/>
          <w:sz w:val="20"/>
          <w:szCs w:val="20"/>
        </w:rPr>
        <w:t>networks,</w:t>
      </w:r>
      <w:proofErr w:type="gramEnd"/>
      <w:r w:rsidRPr="00710C91">
        <w:rPr>
          <w:rFonts w:asciiTheme="minorBidi" w:hAnsiTheme="minorBidi" w:cstheme="minorBidi"/>
          <w:sz w:val="20"/>
          <w:szCs w:val="20"/>
        </w:rPr>
        <w:t xml:space="preserve"> evade/react to attacks and counter or exploit enemy networks.</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12. Electronic Warfare. Technologies enabling electronic warfare support, attack, and protection in order to ensure maneuver in the electromagnetic spectrum and deny the adversary the same.</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 xml:space="preserve">13. Information Operations. Technologies enabling information related capabilities. </w:t>
      </w: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a. Create, maintain, and provide situational awareness, planning and decision support for information operations</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 xml:space="preserve">14. Simulation, Training &amp; Human Performance. Adaptable and deployable training </w:t>
      </w:r>
      <w:bookmarkStart w:id="0" w:name="_GoBack"/>
      <w:bookmarkEnd w:id="0"/>
      <w:r w:rsidRPr="00710C91">
        <w:rPr>
          <w:rFonts w:asciiTheme="minorBidi" w:hAnsiTheme="minorBidi" w:cstheme="minorBidi"/>
          <w:sz w:val="20"/>
          <w:szCs w:val="20"/>
        </w:rPr>
        <w:t>systems and technologies that enhance the speed and effectiveness of training.</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15. Medical Technologies. Technologies to improve the medical care for Marines through prevention, protection and casualty response.</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16. Counter Shooter/Counter Surveillance. Situational awareness and options to counter enemy surveillance and direct fire targeting.</w:t>
      </w:r>
    </w:p>
    <w:p w:rsidR="00BE05E4" w:rsidRPr="00710C91" w:rsidRDefault="00BE05E4" w:rsidP="00710C91">
      <w:pPr>
        <w:pStyle w:val="Default"/>
        <w:rPr>
          <w:rFonts w:asciiTheme="minorBidi" w:hAnsiTheme="minorBidi" w:cstheme="minorBidi"/>
          <w:sz w:val="20"/>
          <w:szCs w:val="20"/>
        </w:rPr>
      </w:pPr>
    </w:p>
    <w:p w:rsidR="00BE05E4" w:rsidRPr="00710C91" w:rsidRDefault="00BE05E4" w:rsidP="00710C91">
      <w:pPr>
        <w:pStyle w:val="Default"/>
        <w:rPr>
          <w:rFonts w:asciiTheme="minorBidi" w:hAnsiTheme="minorBidi" w:cstheme="minorBidi"/>
          <w:sz w:val="20"/>
          <w:szCs w:val="20"/>
        </w:rPr>
      </w:pPr>
      <w:r w:rsidRPr="00710C91">
        <w:rPr>
          <w:rFonts w:asciiTheme="minorBidi" w:hAnsiTheme="minorBidi" w:cstheme="minorBidi"/>
          <w:sz w:val="20"/>
          <w:szCs w:val="20"/>
        </w:rPr>
        <w:t>17. Signature Management. Technologies that improve friendly force signature management, to include the ability to monitor “own force” signatures, improve camouflage, concealment, and deception.</w:t>
      </w:r>
    </w:p>
    <w:p w:rsidR="00BE05E4" w:rsidRPr="00710C91" w:rsidRDefault="00BE05E4" w:rsidP="00710C91">
      <w:pPr>
        <w:bidi w:val="0"/>
        <w:spacing w:after="0" w:line="240" w:lineRule="auto"/>
        <w:rPr>
          <w:rFonts w:asciiTheme="minorBidi" w:hAnsiTheme="minorBidi"/>
          <w:sz w:val="20"/>
          <w:szCs w:val="20"/>
        </w:rPr>
      </w:pPr>
    </w:p>
    <w:p w:rsidR="00BE05E4" w:rsidRPr="00710C91" w:rsidRDefault="00BE05E4" w:rsidP="00710C91">
      <w:pPr>
        <w:bidi w:val="0"/>
        <w:spacing w:after="0" w:line="240" w:lineRule="auto"/>
        <w:rPr>
          <w:rFonts w:asciiTheme="minorBidi" w:hAnsiTheme="minorBidi"/>
          <w:sz w:val="20"/>
          <w:szCs w:val="20"/>
        </w:rPr>
      </w:pPr>
    </w:p>
    <w:sectPr w:rsidR="00BE05E4" w:rsidRPr="00710C91" w:rsidSect="00710C91">
      <w:pgSz w:w="11906" w:h="16838"/>
      <w:pgMar w:top="1440" w:right="1133"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E4"/>
    <w:rsid w:val="001C6108"/>
    <w:rsid w:val="00710C91"/>
    <w:rsid w:val="00BE05E4"/>
    <w:rsid w:val="00E07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6EC7"/>
  <w15:chartTrackingRefBased/>
  <w15:docId w15:val="{EB2F6187-D6E9-4A46-A362-DF13701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5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0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r.navy.mil/our-research/technology-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2019-10-03T06:23:00Z</dcterms:created>
  <dcterms:modified xsi:type="dcterms:W3CDTF">2019-10-03T06:31:00Z</dcterms:modified>
</cp:coreProperties>
</file>