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9E96B" w14:textId="6D261969" w:rsidR="00276CFF" w:rsidRDefault="00092961" w:rsidP="00E205F9">
      <w:pPr>
        <w:pStyle w:val="Heading2"/>
        <w:spacing w:before="0" w:line="240" w:lineRule="auto"/>
        <w:jc w:val="center"/>
        <w:rPr>
          <w:rFonts w:eastAsia="Calibri"/>
          <w:sz w:val="28"/>
        </w:rPr>
      </w:pPr>
      <w:bookmarkStart w:id="0" w:name="_Hlk19700462"/>
      <w:bookmarkStart w:id="1" w:name="_GoBack"/>
      <w:bookmarkEnd w:id="1"/>
      <w:r>
        <w:rPr>
          <w:rFonts w:eastAsia="Bebas Neue"/>
          <w:noProof/>
          <w:sz w:val="24"/>
          <w:lang w:bidi="he-IL"/>
        </w:rPr>
        <w:drawing>
          <wp:anchor distT="0" distB="0" distL="114300" distR="114300" simplePos="0" relativeHeight="251657216" behindDoc="0" locked="0" layoutInCell="1" allowOverlap="1" wp14:anchorId="207E131E" wp14:editId="69A9B446">
            <wp:simplePos x="0" y="0"/>
            <wp:positionH relativeFrom="margin">
              <wp:align>center</wp:align>
            </wp:positionH>
            <wp:positionV relativeFrom="margin">
              <wp:posOffset>9525</wp:posOffset>
            </wp:positionV>
            <wp:extent cx="2887980" cy="101917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 Griffin Competition logo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7980" cy="1019175"/>
                    </a:xfrm>
                    <a:prstGeom prst="rect">
                      <a:avLst/>
                    </a:prstGeom>
                  </pic:spPr>
                </pic:pic>
              </a:graphicData>
            </a:graphic>
            <wp14:sizeRelH relativeFrom="margin">
              <wp14:pctWidth>0</wp14:pctWidth>
            </wp14:sizeRelH>
            <wp14:sizeRelV relativeFrom="margin">
              <wp14:pctHeight>0</wp14:pctHeight>
            </wp14:sizeRelV>
          </wp:anchor>
        </w:drawing>
      </w:r>
    </w:p>
    <w:p w14:paraId="673F27E0" w14:textId="715F394C" w:rsidR="00B56613" w:rsidRDefault="00276CFF" w:rsidP="00276CFF">
      <w:pPr>
        <w:rPr>
          <w:rFonts w:eastAsia="Bebas Neue"/>
          <w:sz w:val="24"/>
        </w:rPr>
      </w:pPr>
      <w:r>
        <w:tab/>
      </w:r>
      <w:r>
        <w:tab/>
      </w:r>
      <w:r>
        <w:tab/>
      </w:r>
      <w:r>
        <w:tab/>
      </w:r>
      <w:bookmarkEnd w:id="0"/>
    </w:p>
    <w:p w14:paraId="11B9EBE0" w14:textId="39E0BDC0" w:rsidR="00276CFF" w:rsidRDefault="00276CFF" w:rsidP="00B56613">
      <w:pPr>
        <w:pStyle w:val="Heading2"/>
        <w:spacing w:before="0" w:line="240" w:lineRule="auto"/>
        <w:rPr>
          <w:rFonts w:ascii="Calibri Light" w:eastAsia="Times New Roman" w:hAnsi="Calibri Light" w:cs="Times New Roman"/>
          <w:color w:val="1F4D78"/>
          <w:sz w:val="24"/>
          <w:szCs w:val="24"/>
        </w:rPr>
      </w:pPr>
    </w:p>
    <w:p w14:paraId="5C198D87" w14:textId="77777777" w:rsidR="00276CFF" w:rsidRDefault="00276CFF" w:rsidP="00B56613">
      <w:pPr>
        <w:pStyle w:val="Heading2"/>
        <w:spacing w:before="0" w:line="240" w:lineRule="auto"/>
        <w:rPr>
          <w:rFonts w:ascii="Calibri Light" w:eastAsia="Times New Roman" w:hAnsi="Calibri Light" w:cs="Times New Roman"/>
          <w:color w:val="1F4D78"/>
          <w:sz w:val="24"/>
          <w:szCs w:val="24"/>
        </w:rPr>
      </w:pPr>
    </w:p>
    <w:p w14:paraId="437E18CB" w14:textId="77777777" w:rsidR="00276CFF" w:rsidRDefault="00276CFF" w:rsidP="00B56613">
      <w:pPr>
        <w:pStyle w:val="Heading2"/>
        <w:spacing w:before="0" w:line="240" w:lineRule="auto"/>
        <w:rPr>
          <w:rFonts w:ascii="Calibri Light" w:eastAsia="Times New Roman" w:hAnsi="Calibri Light" w:cs="Times New Roman"/>
          <w:color w:val="1F4D78"/>
          <w:sz w:val="24"/>
          <w:szCs w:val="24"/>
        </w:rPr>
      </w:pPr>
    </w:p>
    <w:p w14:paraId="64988C3D" w14:textId="3903B58E" w:rsidR="00276CFF" w:rsidRDefault="00092961" w:rsidP="00092961">
      <w:pPr>
        <w:pStyle w:val="Heading2"/>
        <w:spacing w:before="0" w:line="240" w:lineRule="auto"/>
        <w:jc w:val="center"/>
        <w:rPr>
          <w:rFonts w:ascii="Calibri Light" w:eastAsia="Times New Roman" w:hAnsi="Calibri Light" w:cs="Times New Roman"/>
          <w:color w:val="1F4D78"/>
          <w:sz w:val="24"/>
          <w:szCs w:val="24"/>
        </w:rPr>
      </w:pPr>
      <w:r w:rsidRPr="00E205F9">
        <w:rPr>
          <w:rFonts w:eastAsia="Calibri"/>
          <w:sz w:val="32"/>
          <w:szCs w:val="28"/>
        </w:rPr>
        <w:t>RFA Overview</w:t>
      </w:r>
    </w:p>
    <w:p w14:paraId="776A030B" w14:textId="77777777" w:rsidR="00092961" w:rsidRPr="00092961" w:rsidRDefault="00092961" w:rsidP="00092961"/>
    <w:p w14:paraId="09B4FE07" w14:textId="4B48F01A" w:rsidR="001A72C4" w:rsidRPr="00276CFF" w:rsidRDefault="001A72C4" w:rsidP="00B56613">
      <w:pPr>
        <w:pStyle w:val="Heading2"/>
        <w:spacing w:before="0" w:line="240" w:lineRule="auto"/>
        <w:rPr>
          <w:rFonts w:ascii="Calibri Light" w:eastAsia="Times New Roman" w:hAnsi="Calibri Light" w:cs="Times New Roman"/>
          <w:color w:val="1F4D78"/>
          <w:sz w:val="24"/>
          <w:szCs w:val="24"/>
        </w:rPr>
      </w:pPr>
      <w:r w:rsidRPr="00276CFF">
        <w:rPr>
          <w:rFonts w:ascii="Calibri Light" w:eastAsia="Times New Roman" w:hAnsi="Calibri Light" w:cs="Times New Roman"/>
          <w:color w:val="1F4D78"/>
          <w:sz w:val="24"/>
          <w:szCs w:val="24"/>
        </w:rPr>
        <w:t>BACKGROUND</w:t>
      </w:r>
    </w:p>
    <w:p w14:paraId="6DF681A4" w14:textId="294A9640" w:rsidR="00B56613" w:rsidRDefault="00B56613" w:rsidP="00B56613">
      <w:pPr>
        <w:spacing w:after="0" w:line="240" w:lineRule="auto"/>
      </w:pPr>
      <w:bookmarkStart w:id="2" w:name="_Hlk15893220"/>
      <w:r>
        <w:t xml:space="preserve">Parkinson’s disease (PD) affects nearly 1 million people in the US and over 6 million worldwide, and those numbers are expected to rise over the coming decades. PD is highly heterogeneous: individuals experience a wide array of motor and non-motor symptoms, many of which depend on disease severity and duration. Though our understanding of PD and its causes is growing, many questions remain. Currently, there are no drugs available </w:t>
      </w:r>
      <w:r w:rsidR="000D3E37">
        <w:t>to slow or stop</w:t>
      </w:r>
      <w:r>
        <w:t xml:space="preserve"> Parkinson’s </w:t>
      </w:r>
      <w:r w:rsidR="000D3E37">
        <w:t xml:space="preserve">progression </w:t>
      </w:r>
      <w:r>
        <w:t xml:space="preserve">while standard symptomatic treatments provide some limited relief but come with complications and side effects. </w:t>
      </w:r>
    </w:p>
    <w:p w14:paraId="609DBAB7" w14:textId="77777777" w:rsidR="00B56613" w:rsidRDefault="00B56613" w:rsidP="00B56613">
      <w:pPr>
        <w:spacing w:after="0" w:line="240" w:lineRule="auto"/>
      </w:pPr>
    </w:p>
    <w:p w14:paraId="56A23EED" w14:textId="2C931F4E" w:rsidR="00B56613" w:rsidRDefault="00B56613" w:rsidP="00B56613">
      <w:pPr>
        <w:spacing w:after="0" w:line="240" w:lineRule="auto"/>
      </w:pPr>
      <w:r>
        <w:t xml:space="preserve">The Michael J. Fox Foundation (MJFF) funds research to define, measure and treat Parkinson’s disease as well as critical tools and other resources to advance that research. The purpose of this Request for Applications (RFA) is to develop imaging markers for utilization in clinical trials.  </w:t>
      </w:r>
    </w:p>
    <w:p w14:paraId="3CE68FC0" w14:textId="77777777" w:rsidR="00B56613" w:rsidRDefault="00B56613" w:rsidP="00B56613">
      <w:pPr>
        <w:spacing w:after="0" w:line="240" w:lineRule="auto"/>
      </w:pPr>
    </w:p>
    <w:bookmarkEnd w:id="2"/>
    <w:p w14:paraId="4CE5DF6E" w14:textId="5DB141E0" w:rsidR="001A72C4" w:rsidRPr="00412FFF" w:rsidRDefault="00C0400F" w:rsidP="00B56613">
      <w:pPr>
        <w:pStyle w:val="Heading1"/>
        <w:spacing w:before="0" w:line="240" w:lineRule="auto"/>
        <w:rPr>
          <w:rFonts w:eastAsia="Bebas Neue"/>
          <w:sz w:val="24"/>
        </w:rPr>
      </w:pPr>
      <w:r w:rsidRPr="00412FFF">
        <w:rPr>
          <w:rFonts w:eastAsia="Bebas Neue"/>
          <w:sz w:val="24"/>
        </w:rPr>
        <w:t>PROGRAM GOAL</w:t>
      </w:r>
    </w:p>
    <w:p w14:paraId="088AA7B4" w14:textId="6071C523" w:rsidR="00B56613" w:rsidRPr="00B8662B" w:rsidRDefault="00B2610F">
      <w:pPr>
        <w:spacing w:after="0" w:line="240" w:lineRule="auto"/>
        <w:rPr>
          <w:rFonts w:eastAsia="Times New Roman" w:cs="Times New Roman"/>
        </w:rPr>
      </w:pPr>
      <w:bookmarkStart w:id="3" w:name="_Hlk15893427"/>
      <w:r w:rsidRPr="003D5D8A">
        <w:rPr>
          <w:rFonts w:cs="Arial"/>
        </w:rPr>
        <w:t xml:space="preserve">The </w:t>
      </w:r>
      <w:r w:rsidR="00B56613" w:rsidRPr="00B56613">
        <w:rPr>
          <w:rFonts w:cs="Arial"/>
        </w:rPr>
        <w:t>Ken Griffin Alpha-synuclein Imaging Competition</w:t>
      </w:r>
      <w:r w:rsidR="00B56613">
        <w:rPr>
          <w:rFonts w:cs="Arial"/>
        </w:rPr>
        <w:t xml:space="preserve"> seeks to </w:t>
      </w:r>
      <w:r w:rsidR="000B0D49">
        <w:rPr>
          <w:rFonts w:cs="Arial"/>
        </w:rPr>
        <w:t>accelerate</w:t>
      </w:r>
      <w:r w:rsidRPr="003D5D8A">
        <w:rPr>
          <w:rFonts w:cs="Arial"/>
        </w:rPr>
        <w:t xml:space="preserve"> work </w:t>
      </w:r>
      <w:r w:rsidR="00A77455">
        <w:rPr>
          <w:rFonts w:cs="Arial"/>
        </w:rPr>
        <w:t xml:space="preserve">to develop </w:t>
      </w:r>
      <w:r w:rsidR="006D5927">
        <w:rPr>
          <w:rFonts w:cs="Arial"/>
        </w:rPr>
        <w:t xml:space="preserve">a selective </w:t>
      </w:r>
      <w:r w:rsidR="000B0D49">
        <w:rPr>
          <w:rFonts w:cstheme="minorHAnsi"/>
        </w:rPr>
        <w:t>alpha</w:t>
      </w:r>
      <w:r w:rsidR="006D5927">
        <w:rPr>
          <w:rFonts w:cstheme="minorHAnsi"/>
        </w:rPr>
        <w:t>-synuclein PET tracer.</w:t>
      </w:r>
      <w:r w:rsidR="006D5927">
        <w:rPr>
          <w:rFonts w:cs="Arial"/>
        </w:rPr>
        <w:t xml:space="preserve"> </w:t>
      </w:r>
      <w:r w:rsidR="00B56613">
        <w:t xml:space="preserve">The ability to image </w:t>
      </w:r>
      <w:r w:rsidR="00B56613">
        <w:rPr>
          <w:rFonts w:cstheme="minorHAnsi"/>
        </w:rPr>
        <w:t>alpha-synuclein deposition</w:t>
      </w:r>
      <w:r w:rsidR="00B56613">
        <w:rPr>
          <w:rFonts w:ascii="Times New Roman" w:hAnsi="Times New Roman"/>
          <w:sz w:val="24"/>
          <w:szCs w:val="24"/>
        </w:rPr>
        <w:t xml:space="preserve"> </w:t>
      </w:r>
      <w:r w:rsidR="00B56613">
        <w:t xml:space="preserve">in the brain would be a game-changing achievement for the Parkinson’s disease (PD) field. The accumulation of aggregated </w:t>
      </w:r>
      <w:r w:rsidR="00B56613">
        <w:rPr>
          <w:rFonts w:cstheme="minorHAnsi"/>
        </w:rPr>
        <w:t xml:space="preserve">alpha-synuclein </w:t>
      </w:r>
      <w:r w:rsidR="00B56613">
        <w:t xml:space="preserve">is a pathological hallmark of PD and a priority target for drug development given its hypothesized contribution to neurodegeneration. </w:t>
      </w:r>
      <w:r w:rsidR="00B56613">
        <w:rPr>
          <w:i/>
        </w:rPr>
        <w:t>In vivo</w:t>
      </w:r>
      <w:r w:rsidR="00B56613">
        <w:t xml:space="preserve"> imaging of </w:t>
      </w:r>
      <w:r w:rsidR="00B56613">
        <w:rPr>
          <w:rFonts w:cstheme="minorHAnsi"/>
        </w:rPr>
        <w:t>alpha-synuclein</w:t>
      </w:r>
      <w:r w:rsidR="00B56613">
        <w:rPr>
          <w:rFonts w:ascii="Times New Roman" w:hAnsi="Times New Roman"/>
          <w:sz w:val="24"/>
          <w:szCs w:val="24"/>
        </w:rPr>
        <w:t xml:space="preserve"> </w:t>
      </w:r>
      <w:r w:rsidR="00B56613">
        <w:t xml:space="preserve">pathology could be useful as a biomarker of the presence of disease and disease progression and as a pharmacodynamic tool for drug development. </w:t>
      </w:r>
      <w:r w:rsidR="00B56613" w:rsidRPr="003D5D8A">
        <w:rPr>
          <w:rFonts w:cs="Arial"/>
        </w:rPr>
        <w:t xml:space="preserve">MJFF </w:t>
      </w:r>
      <w:r w:rsidR="00B56613">
        <w:rPr>
          <w:rFonts w:cs="Arial"/>
        </w:rPr>
        <w:t xml:space="preserve">has </w:t>
      </w:r>
      <w:r w:rsidR="00B56613" w:rsidRPr="00B8662B">
        <w:rPr>
          <w:rFonts w:eastAsia="Times New Roman" w:cs="Times New Roman"/>
        </w:rPr>
        <w:t>prioritized alpha-synuclein imaging as the most likely imaging approach to have an impact for therapeutic development. The rationale behind this is that imaging the key pathology of PD would be the most direct and hopefully most sensitive means of measuring the progression of disease and therapeutics that alter the progression</w:t>
      </w:r>
      <w:r w:rsidR="00B56613">
        <w:rPr>
          <w:rFonts w:eastAsia="Times New Roman" w:cs="Times New Roman"/>
        </w:rPr>
        <w:t>, especially those that target alpha-synuclein directly</w:t>
      </w:r>
      <w:r w:rsidR="00B56613" w:rsidRPr="00B8662B">
        <w:rPr>
          <w:rFonts w:eastAsia="Times New Roman" w:cs="Times New Roman"/>
        </w:rPr>
        <w:t xml:space="preserve">. </w:t>
      </w:r>
    </w:p>
    <w:p w14:paraId="1B6D2FD4" w14:textId="77777777" w:rsidR="00B56613" w:rsidRDefault="00B56613" w:rsidP="00B56613">
      <w:pPr>
        <w:spacing w:after="0" w:line="240" w:lineRule="auto"/>
        <w:rPr>
          <w:rFonts w:cs="Arial"/>
        </w:rPr>
      </w:pPr>
    </w:p>
    <w:p w14:paraId="4CCE6C8D" w14:textId="56F9FB59" w:rsidR="00B56613" w:rsidRPr="00412FFF" w:rsidRDefault="00B56613" w:rsidP="00B56613">
      <w:pPr>
        <w:pStyle w:val="Heading1"/>
        <w:spacing w:before="0" w:line="240" w:lineRule="auto"/>
        <w:rPr>
          <w:rFonts w:eastAsia="Bebas Neue"/>
          <w:sz w:val="24"/>
        </w:rPr>
      </w:pPr>
      <w:r w:rsidRPr="00412FFF">
        <w:rPr>
          <w:rFonts w:eastAsia="Bebas Neue"/>
          <w:sz w:val="24"/>
        </w:rPr>
        <w:t xml:space="preserve">PROGRAM </w:t>
      </w:r>
      <w:r>
        <w:rPr>
          <w:rFonts w:eastAsia="Bebas Neue"/>
          <w:sz w:val="24"/>
        </w:rPr>
        <w:t>PRIORITIES</w:t>
      </w:r>
    </w:p>
    <w:p w14:paraId="7E6766F8" w14:textId="70CBBAF9" w:rsidR="00B2610F" w:rsidRPr="003D5D8A" w:rsidRDefault="00B56613" w:rsidP="00276CFF">
      <w:pPr>
        <w:spacing w:after="0" w:line="240" w:lineRule="auto"/>
        <w:rPr>
          <w:rFonts w:cs="Arial"/>
        </w:rPr>
      </w:pPr>
      <w:r>
        <w:rPr>
          <w:rFonts w:cs="Arial"/>
        </w:rPr>
        <w:t>MJFF</w:t>
      </w:r>
      <w:r w:rsidR="007132D6">
        <w:rPr>
          <w:rFonts w:cs="Arial"/>
        </w:rPr>
        <w:t xml:space="preserve"> encourage</w:t>
      </w:r>
      <w:r>
        <w:rPr>
          <w:rFonts w:cs="Arial"/>
        </w:rPr>
        <w:t>s</w:t>
      </w:r>
      <w:r w:rsidR="007132D6">
        <w:rPr>
          <w:rFonts w:cs="Arial"/>
        </w:rPr>
        <w:t xml:space="preserve"> multidisciplinary teams to apply to this program and </w:t>
      </w:r>
      <w:r>
        <w:rPr>
          <w:rFonts w:cs="Arial"/>
        </w:rPr>
        <w:t xml:space="preserve">is </w:t>
      </w:r>
      <w:r w:rsidR="007C1AC8">
        <w:rPr>
          <w:rFonts w:cs="Arial"/>
        </w:rPr>
        <w:t>particularly interested in collaborations between academic and industry group</w:t>
      </w:r>
      <w:r w:rsidR="00647B8C">
        <w:rPr>
          <w:rFonts w:cs="Arial"/>
        </w:rPr>
        <w:t>s</w:t>
      </w:r>
      <w:r w:rsidR="000B0D49">
        <w:rPr>
          <w:rFonts w:cs="Arial"/>
        </w:rPr>
        <w:t xml:space="preserve"> that have access to diverse compound libraries</w:t>
      </w:r>
      <w:r w:rsidR="007C1AC8">
        <w:rPr>
          <w:rFonts w:cs="Arial"/>
        </w:rPr>
        <w:t xml:space="preserve">. </w:t>
      </w:r>
      <w:r w:rsidR="00D92755">
        <w:rPr>
          <w:rFonts w:cs="Arial"/>
        </w:rPr>
        <w:t xml:space="preserve">Projects can include compound screening, </w:t>
      </w:r>
      <w:r w:rsidR="005C6A59">
        <w:rPr>
          <w:rFonts w:cs="Arial"/>
        </w:rPr>
        <w:t xml:space="preserve">tissue binding studies, </w:t>
      </w:r>
      <w:r w:rsidR="00D92755">
        <w:rPr>
          <w:rFonts w:cs="Arial"/>
        </w:rPr>
        <w:t xml:space="preserve">lead identification and </w:t>
      </w:r>
      <w:r w:rsidR="005C6A59">
        <w:rPr>
          <w:rFonts w:cs="Arial"/>
        </w:rPr>
        <w:t xml:space="preserve">optimization, </w:t>
      </w:r>
      <w:r w:rsidR="005C6A59" w:rsidRPr="00276CFF">
        <w:rPr>
          <w:rFonts w:cs="Arial"/>
          <w:i/>
          <w:iCs/>
        </w:rPr>
        <w:t>in vivo</w:t>
      </w:r>
      <w:r w:rsidR="005C6A59">
        <w:rPr>
          <w:rFonts w:cs="Arial"/>
        </w:rPr>
        <w:t xml:space="preserve"> testing in appropriate animal models, and first-in-human testing of candidate tracer</w:t>
      </w:r>
      <w:r w:rsidR="000B0D49">
        <w:rPr>
          <w:rFonts w:cs="Arial"/>
        </w:rPr>
        <w:t>s</w:t>
      </w:r>
      <w:r w:rsidR="005C6A59">
        <w:rPr>
          <w:rFonts w:cs="Arial"/>
        </w:rPr>
        <w:t xml:space="preserve">. </w:t>
      </w:r>
      <w:r w:rsidR="000B0D49">
        <w:rPr>
          <w:rFonts w:cs="Arial"/>
        </w:rPr>
        <w:t xml:space="preserve">Funding prioritization will be given to those teams that show the greatest promise for delivering a selective tracer for human testing at the end of the funding period. </w:t>
      </w:r>
      <w:bookmarkEnd w:id="3"/>
    </w:p>
    <w:p w14:paraId="28FAE4BB" w14:textId="77777777" w:rsidR="00B56613" w:rsidRDefault="00B56613" w:rsidP="00B56613">
      <w:pPr>
        <w:pStyle w:val="Heading2"/>
        <w:spacing w:before="0" w:line="240" w:lineRule="auto"/>
        <w:rPr>
          <w:rFonts w:eastAsia="Bebas Neue"/>
          <w:sz w:val="24"/>
        </w:rPr>
      </w:pPr>
    </w:p>
    <w:p w14:paraId="650D01AA" w14:textId="75548F86" w:rsidR="001A72C4" w:rsidRPr="00412FFF" w:rsidRDefault="001A72C4" w:rsidP="00B56613">
      <w:pPr>
        <w:pStyle w:val="Heading2"/>
        <w:spacing w:before="0" w:line="240" w:lineRule="auto"/>
        <w:rPr>
          <w:rFonts w:eastAsia="Bebas Neue,Calibri" w:cs="Bebas Neue,Calibri"/>
          <w:sz w:val="24"/>
        </w:rPr>
      </w:pPr>
      <w:r w:rsidRPr="00412FFF">
        <w:rPr>
          <w:rFonts w:eastAsia="Bebas Neue"/>
          <w:sz w:val="24"/>
        </w:rPr>
        <w:t xml:space="preserve">DEADLINES &amp; </w:t>
      </w:r>
      <w:r w:rsidR="00C0400F" w:rsidRPr="00412FFF">
        <w:rPr>
          <w:rFonts w:eastAsia="Bebas Neue"/>
          <w:sz w:val="24"/>
        </w:rPr>
        <w:t xml:space="preserve">REVIEW </w:t>
      </w:r>
      <w:r w:rsidR="00B56613">
        <w:rPr>
          <w:rFonts w:eastAsia="Bebas Neue"/>
          <w:sz w:val="24"/>
        </w:rPr>
        <w:t>SCHEDULE</w:t>
      </w:r>
    </w:p>
    <w:p w14:paraId="5143838E" w14:textId="52D0C8A9" w:rsidR="001A72C4" w:rsidRPr="001A72C4" w:rsidRDefault="001A72C4" w:rsidP="00B56613">
      <w:pPr>
        <w:shd w:val="clear" w:color="auto" w:fill="FFFFFF" w:themeFill="background1"/>
        <w:spacing w:after="0" w:line="240" w:lineRule="auto"/>
        <w:rPr>
          <w:rFonts w:eastAsiaTheme="minorEastAsia" w:cstheme="minorEastAsia"/>
        </w:rPr>
      </w:pPr>
      <w:r w:rsidRPr="001A72C4">
        <w:rPr>
          <w:rFonts w:eastAsiaTheme="minorEastAsia" w:cstheme="minorEastAsia"/>
        </w:rPr>
        <w:t xml:space="preserve">Proposals Due: </w:t>
      </w:r>
      <w:r w:rsidR="000A66B3">
        <w:rPr>
          <w:rFonts w:eastAsiaTheme="minorEastAsia" w:cstheme="minorEastAsia"/>
        </w:rPr>
        <w:t>January 1</w:t>
      </w:r>
      <w:r w:rsidR="000D3E37">
        <w:rPr>
          <w:rFonts w:eastAsiaTheme="minorEastAsia" w:cstheme="minorEastAsia"/>
        </w:rPr>
        <w:t>7</w:t>
      </w:r>
      <w:r w:rsidR="000A66B3">
        <w:rPr>
          <w:rFonts w:eastAsiaTheme="minorEastAsia" w:cstheme="minorEastAsia"/>
        </w:rPr>
        <w:t>, 2020</w:t>
      </w:r>
    </w:p>
    <w:p w14:paraId="261ACC82" w14:textId="46E97763" w:rsidR="001A72C4" w:rsidRPr="000D0544" w:rsidRDefault="001A72C4" w:rsidP="00B56613">
      <w:pPr>
        <w:shd w:val="clear" w:color="auto" w:fill="FFFFFF" w:themeFill="background1"/>
        <w:spacing w:after="0" w:line="240" w:lineRule="auto"/>
        <w:rPr>
          <w:rFonts w:eastAsiaTheme="minorEastAsia" w:cstheme="minorEastAsia"/>
        </w:rPr>
      </w:pPr>
      <w:r w:rsidRPr="001A72C4">
        <w:rPr>
          <w:rFonts w:eastAsiaTheme="minorEastAsia" w:cstheme="minorEastAsia"/>
        </w:rPr>
        <w:t xml:space="preserve">Anticipated Award </w:t>
      </w:r>
      <w:r w:rsidRPr="000D0544">
        <w:rPr>
          <w:rFonts w:eastAsiaTheme="minorEastAsia" w:cstheme="minorEastAsia"/>
        </w:rPr>
        <w:t xml:space="preserve">Announcement: </w:t>
      </w:r>
      <w:r w:rsidR="00AA725A" w:rsidRPr="000D0544">
        <w:rPr>
          <w:rFonts w:eastAsiaTheme="minorEastAsia" w:cstheme="minorEastAsia"/>
        </w:rPr>
        <w:t>March</w:t>
      </w:r>
      <w:r w:rsidR="000D0544" w:rsidRPr="000D0544">
        <w:rPr>
          <w:rFonts w:eastAsiaTheme="minorEastAsia" w:cstheme="minorEastAsia"/>
        </w:rPr>
        <w:t xml:space="preserve"> 2020</w:t>
      </w:r>
    </w:p>
    <w:p w14:paraId="72F4F7D4" w14:textId="4D2DADFD" w:rsidR="00807E8B" w:rsidRDefault="001A72C4" w:rsidP="00B56613">
      <w:pPr>
        <w:shd w:val="clear" w:color="auto" w:fill="FFFFFF" w:themeFill="background1"/>
        <w:spacing w:after="0" w:line="240" w:lineRule="auto"/>
        <w:rPr>
          <w:rFonts w:eastAsiaTheme="minorEastAsia" w:cstheme="minorEastAsia"/>
        </w:rPr>
      </w:pPr>
      <w:r w:rsidRPr="000D0544">
        <w:rPr>
          <w:rFonts w:eastAsiaTheme="minorEastAsia" w:cstheme="minorEastAsia"/>
        </w:rPr>
        <w:t xml:space="preserve">Anticipated Funding: </w:t>
      </w:r>
      <w:r w:rsidR="00AA725A" w:rsidRPr="000D0544">
        <w:rPr>
          <w:rFonts w:eastAsiaTheme="minorEastAsia" w:cstheme="minorEastAsia"/>
        </w:rPr>
        <w:t>April 2020</w:t>
      </w:r>
    </w:p>
    <w:p w14:paraId="0B01A08A" w14:textId="77777777" w:rsidR="00B56613" w:rsidRDefault="00B56613" w:rsidP="00B56613">
      <w:pPr>
        <w:pStyle w:val="Heading1"/>
        <w:spacing w:before="0" w:line="240" w:lineRule="auto"/>
        <w:rPr>
          <w:sz w:val="24"/>
        </w:rPr>
      </w:pPr>
    </w:p>
    <w:p w14:paraId="57645AC0" w14:textId="3C25A397" w:rsidR="00807E8B" w:rsidRPr="00412FFF" w:rsidRDefault="00807E8B" w:rsidP="00B56613">
      <w:pPr>
        <w:pStyle w:val="Heading1"/>
        <w:spacing w:before="0" w:line="240" w:lineRule="auto"/>
        <w:rPr>
          <w:sz w:val="24"/>
        </w:rPr>
      </w:pPr>
      <w:r w:rsidRPr="00412FFF">
        <w:rPr>
          <w:sz w:val="24"/>
        </w:rPr>
        <w:t xml:space="preserve">FUNDING AVAILABLE </w:t>
      </w:r>
    </w:p>
    <w:p w14:paraId="48B4B7CA" w14:textId="0A211112" w:rsidR="009D4D76" w:rsidRDefault="009D4D76" w:rsidP="00B56613">
      <w:pPr>
        <w:pStyle w:val="Default"/>
        <w:rPr>
          <w:sz w:val="22"/>
          <w:szCs w:val="22"/>
        </w:rPr>
      </w:pPr>
      <w:bookmarkStart w:id="4" w:name="_Hlk15893563"/>
      <w:r w:rsidRPr="00276CFF">
        <w:rPr>
          <w:b/>
          <w:bCs/>
          <w:sz w:val="22"/>
          <w:szCs w:val="22"/>
        </w:rPr>
        <w:t>Duration:</w:t>
      </w:r>
      <w:r>
        <w:rPr>
          <w:sz w:val="22"/>
          <w:szCs w:val="22"/>
        </w:rPr>
        <w:t xml:space="preserve"> </w:t>
      </w:r>
      <w:r w:rsidRPr="009D4D76">
        <w:rPr>
          <w:sz w:val="22"/>
          <w:szCs w:val="22"/>
        </w:rPr>
        <w:t>One- to t</w:t>
      </w:r>
      <w:r>
        <w:rPr>
          <w:sz w:val="22"/>
          <w:szCs w:val="22"/>
        </w:rPr>
        <w:t>wo</w:t>
      </w:r>
      <w:r w:rsidRPr="009D4D76">
        <w:rPr>
          <w:sz w:val="22"/>
          <w:szCs w:val="22"/>
        </w:rPr>
        <w:t>-year grants</w:t>
      </w:r>
    </w:p>
    <w:p w14:paraId="35962769" w14:textId="6A2FFA8A" w:rsidR="009D4D76" w:rsidRPr="00276CFF" w:rsidRDefault="009D4D76" w:rsidP="009D4D76">
      <w:pPr>
        <w:spacing w:after="0" w:line="240" w:lineRule="auto"/>
        <w:rPr>
          <w:rFonts w:eastAsia="Calibri" w:cstheme="minorHAnsi"/>
          <w:color w:val="000000" w:themeColor="text1"/>
        </w:rPr>
      </w:pPr>
      <w:r w:rsidRPr="00276CFF">
        <w:rPr>
          <w:b/>
          <w:bCs/>
        </w:rPr>
        <w:t>Award Amount:</w:t>
      </w:r>
      <w:r>
        <w:t xml:space="preserve"> </w:t>
      </w:r>
      <w:r w:rsidR="00086FF6">
        <w:t>The total amount of funding available for this program is $10</w:t>
      </w:r>
      <w:r>
        <w:t xml:space="preserve"> million</w:t>
      </w:r>
      <w:r w:rsidR="00086FF6">
        <w:t xml:space="preserve">. </w:t>
      </w:r>
      <w:r w:rsidR="009E2B23">
        <w:t>A total of $8.5</w:t>
      </w:r>
      <w:r>
        <w:t xml:space="preserve"> million</w:t>
      </w:r>
      <w:r w:rsidR="009E2B23">
        <w:t xml:space="preserve"> is available for the first two years of the program with </w:t>
      </w:r>
      <w:r w:rsidR="007A7AEE">
        <w:t>the possibility of an additional $1.5</w:t>
      </w:r>
      <w:r>
        <w:t xml:space="preserve"> million</w:t>
      </w:r>
      <w:r w:rsidR="007A7AEE">
        <w:t xml:space="preserve"> </w:t>
      </w:r>
      <w:r w:rsidR="00D27F81">
        <w:t xml:space="preserve">for </w:t>
      </w:r>
      <w:r w:rsidR="00741ABA">
        <w:t xml:space="preserve">the </w:t>
      </w:r>
      <w:r w:rsidR="00D27F81">
        <w:t>project that show</w:t>
      </w:r>
      <w:r w:rsidR="00741ABA">
        <w:t>s the most</w:t>
      </w:r>
      <w:r w:rsidR="00D27F81">
        <w:t xml:space="preserve"> promising </w:t>
      </w:r>
      <w:r w:rsidR="00741ABA">
        <w:t>results</w:t>
      </w:r>
      <w:r w:rsidR="00D27F81">
        <w:t xml:space="preserve"> during the initial funding period. </w:t>
      </w:r>
      <w:r w:rsidRPr="0D9139D1">
        <w:rPr>
          <w:rFonts w:ascii="Calibri" w:eastAsia="Calibri" w:hAnsi="Calibri" w:cs="Calibri"/>
        </w:rPr>
        <w:t xml:space="preserve">These budgets include direct and indirect costs. </w:t>
      </w:r>
      <w:r w:rsidRPr="00276CFF">
        <w:rPr>
          <w:rFonts w:eastAsia="Calibri" w:cstheme="minorHAnsi"/>
        </w:rPr>
        <w:t>For academic and for-profit institutions, no more than 25% or 10%, respectively, may go to indirect costs.</w:t>
      </w:r>
      <w:r w:rsidRPr="00276CFF">
        <w:rPr>
          <w:rFonts w:eastAsia="Arial" w:cstheme="minorHAnsi"/>
          <w:color w:val="222222"/>
        </w:rPr>
        <w:t xml:space="preserve"> Additional</w:t>
      </w:r>
      <w:r w:rsidRPr="00276CFF">
        <w:rPr>
          <w:rFonts w:eastAsia="Calibri" w:cstheme="minorHAnsi"/>
        </w:rPr>
        <w:t xml:space="preserve"> details about MJFF's indirect cost policy can be found in the</w:t>
      </w:r>
      <w:hyperlink r:id="rId11">
        <w:r w:rsidRPr="00276CFF">
          <w:rPr>
            <w:rStyle w:val="Hyperlink"/>
            <w:rFonts w:eastAsia="Calibri" w:cstheme="minorHAnsi"/>
            <w:color w:val="0070C0"/>
          </w:rPr>
          <w:t xml:space="preserve"> Administrative Guidelines</w:t>
        </w:r>
      </w:hyperlink>
      <w:r w:rsidRPr="00276CFF">
        <w:rPr>
          <w:rFonts w:eastAsia="Calibri" w:cstheme="minorHAnsi"/>
          <w:color w:val="0070C0"/>
        </w:rPr>
        <w:t xml:space="preserve"> </w:t>
      </w:r>
      <w:r w:rsidRPr="00276CFF">
        <w:rPr>
          <w:rFonts w:eastAsia="Calibri" w:cstheme="minorHAnsi"/>
        </w:rPr>
        <w:t>and</w:t>
      </w:r>
      <w:r w:rsidRPr="00276CFF">
        <w:rPr>
          <w:rFonts w:eastAsia="Calibri" w:cstheme="minorHAnsi"/>
          <w:color w:val="0070C0"/>
        </w:rPr>
        <w:t xml:space="preserve"> </w:t>
      </w:r>
      <w:hyperlink r:id="rId12">
        <w:r w:rsidRPr="00276CFF">
          <w:rPr>
            <w:rStyle w:val="Hyperlink"/>
            <w:rFonts w:eastAsia="Calibri" w:cstheme="minorHAnsi"/>
            <w:color w:val="0070C0"/>
          </w:rPr>
          <w:t>FAQ</w:t>
        </w:r>
      </w:hyperlink>
      <w:r w:rsidRPr="00276CFF">
        <w:rPr>
          <w:rFonts w:eastAsia="Calibri" w:cstheme="minorHAnsi"/>
          <w:color w:val="0070C0"/>
        </w:rPr>
        <w:t xml:space="preserve">. </w:t>
      </w:r>
    </w:p>
    <w:bookmarkEnd w:id="4"/>
    <w:p w14:paraId="232AC2AC" w14:textId="77777777" w:rsidR="00B56613" w:rsidRDefault="00B56613" w:rsidP="009D4D76">
      <w:pPr>
        <w:pStyle w:val="Default"/>
      </w:pPr>
    </w:p>
    <w:p w14:paraId="45681D2E" w14:textId="587888F3" w:rsidR="00807E8B" w:rsidRPr="00412FFF" w:rsidRDefault="00807E8B" w:rsidP="00B56613">
      <w:pPr>
        <w:pStyle w:val="Heading1"/>
        <w:spacing w:before="0" w:line="240" w:lineRule="auto"/>
        <w:rPr>
          <w:sz w:val="24"/>
        </w:rPr>
      </w:pPr>
      <w:r w:rsidRPr="00412FFF">
        <w:rPr>
          <w:sz w:val="24"/>
        </w:rPr>
        <w:t xml:space="preserve">ELIGIBILITY REQUIREMENTS </w:t>
      </w:r>
    </w:p>
    <w:p w14:paraId="4634375E" w14:textId="5F0FE790" w:rsidR="00807E8B" w:rsidRDefault="00807E8B" w:rsidP="00B56613">
      <w:pPr>
        <w:pStyle w:val="Default"/>
        <w:rPr>
          <w:sz w:val="22"/>
          <w:szCs w:val="22"/>
        </w:rPr>
      </w:pPr>
      <w:r>
        <w:rPr>
          <w:sz w:val="22"/>
          <w:szCs w:val="22"/>
        </w:rPr>
        <w:t>Applications may be submitted by</w:t>
      </w:r>
      <w:r w:rsidR="00B56613">
        <w:rPr>
          <w:sz w:val="22"/>
          <w:szCs w:val="22"/>
        </w:rPr>
        <w:t xml:space="preserve"> researchers or clinicians in</w:t>
      </w:r>
      <w:r>
        <w:rPr>
          <w:sz w:val="22"/>
          <w:szCs w:val="22"/>
        </w:rPr>
        <w:t xml:space="preserve">: </w:t>
      </w:r>
    </w:p>
    <w:p w14:paraId="022C6C65" w14:textId="77777777" w:rsidR="00B56613" w:rsidRDefault="00B56613" w:rsidP="00B56613">
      <w:pPr>
        <w:pStyle w:val="ListParagraph"/>
        <w:numPr>
          <w:ilvl w:val="0"/>
          <w:numId w:val="2"/>
        </w:numPr>
        <w:spacing w:after="0" w:line="240" w:lineRule="auto"/>
        <w:rPr>
          <w:rFonts w:eastAsiaTheme="minorEastAsia"/>
        </w:rPr>
      </w:pPr>
      <w:r w:rsidRPr="7BD8D981">
        <w:rPr>
          <w:rFonts w:ascii="Calibri" w:eastAsia="Calibri" w:hAnsi="Calibri" w:cs="Calibri"/>
        </w:rPr>
        <w:t>U.S. and non-U.S. biotechnology/pharmaceutical companies, or other publicly or privately held for-profit entities; and</w:t>
      </w:r>
    </w:p>
    <w:p w14:paraId="7D470BF2" w14:textId="77777777" w:rsidR="00B56613" w:rsidRDefault="00B56613" w:rsidP="00B56613">
      <w:pPr>
        <w:pStyle w:val="ListParagraph"/>
        <w:numPr>
          <w:ilvl w:val="0"/>
          <w:numId w:val="2"/>
        </w:numPr>
        <w:spacing w:after="0" w:line="240" w:lineRule="auto"/>
        <w:rPr>
          <w:rFonts w:eastAsiaTheme="minorEastAsia"/>
        </w:rPr>
      </w:pPr>
      <w:r w:rsidRPr="7BD8D981">
        <w:rPr>
          <w:rFonts w:ascii="Calibri" w:eastAsia="Calibri" w:hAnsi="Calibri" w:cs="Calibri"/>
        </w:rPr>
        <w:t>U.S. and non-U.S. public and private non-profit entities, such as universities, colleges, hospitals, laboratories, units of state and local governments and eligible agencies of the federal government.</w:t>
      </w:r>
    </w:p>
    <w:p w14:paraId="29A23808" w14:textId="77777777" w:rsidR="00B56613" w:rsidRPr="00DD02B8" w:rsidRDefault="00B56613" w:rsidP="00B56613">
      <w:pPr>
        <w:pStyle w:val="ListParagraph"/>
        <w:numPr>
          <w:ilvl w:val="0"/>
          <w:numId w:val="2"/>
        </w:numPr>
        <w:shd w:val="clear" w:color="auto" w:fill="FFFFFF" w:themeFill="background1"/>
        <w:spacing w:after="0" w:line="240" w:lineRule="auto"/>
        <w:contextualSpacing w:val="0"/>
        <w:rPr>
          <w:rFonts w:ascii="Calibri,Times New Roman" w:eastAsia="Calibri,Times New Roman" w:hAnsi="Calibri,Times New Roman" w:cs="Calibri,Times New Roman"/>
        </w:rPr>
      </w:pPr>
      <w:r>
        <w:rPr>
          <w:rFonts w:ascii="Calibri" w:eastAsia="Calibri" w:hAnsi="Calibri" w:cs="Calibri"/>
        </w:rPr>
        <w:t>P</w:t>
      </w:r>
      <w:r w:rsidRPr="15F58021">
        <w:rPr>
          <w:rFonts w:ascii="Calibri" w:eastAsia="Calibri" w:hAnsi="Calibri" w:cs="Calibri"/>
        </w:rPr>
        <w:t xml:space="preserve">ost-doctoral fellows are </w:t>
      </w:r>
      <w:r w:rsidRPr="15F58021">
        <w:rPr>
          <w:rFonts w:ascii="Calibri" w:eastAsia="Calibri" w:hAnsi="Calibri" w:cs="Calibri"/>
          <w:b/>
          <w:bCs/>
          <w:u w:val="single"/>
        </w:rPr>
        <w:t>not</w:t>
      </w:r>
      <w:r w:rsidRPr="15F58021">
        <w:rPr>
          <w:rFonts w:ascii="Calibri" w:eastAsia="Calibri" w:hAnsi="Calibri" w:cs="Calibri"/>
        </w:rPr>
        <w:t xml:space="preserve"> eligible to apply as </w:t>
      </w:r>
      <w:r>
        <w:rPr>
          <w:rFonts w:ascii="Calibri" w:eastAsia="Calibri" w:hAnsi="Calibri" w:cs="Calibri"/>
        </w:rPr>
        <w:t>principal investigators.</w:t>
      </w:r>
    </w:p>
    <w:p w14:paraId="4F4C51B6" w14:textId="77777777" w:rsidR="00B56613" w:rsidRDefault="00B56613" w:rsidP="00276CFF">
      <w:pPr>
        <w:shd w:val="clear" w:color="auto" w:fill="FFFFFF" w:themeFill="background1"/>
        <w:spacing w:after="0" w:line="240" w:lineRule="auto"/>
        <w:rPr>
          <w:rFonts w:ascii="Calibri" w:eastAsia="Calibri" w:hAnsi="Calibri" w:cs="Calibri"/>
        </w:rPr>
      </w:pPr>
    </w:p>
    <w:p w14:paraId="3DE7A5E8" w14:textId="77777777" w:rsidR="00B56613" w:rsidRPr="00A56936" w:rsidRDefault="00B56613" w:rsidP="00276CFF">
      <w:pPr>
        <w:shd w:val="clear" w:color="auto" w:fill="FFFFFF" w:themeFill="background1"/>
        <w:spacing w:after="0" w:line="240" w:lineRule="auto"/>
        <w:rPr>
          <w:rFonts w:ascii="Calibri,Times New Roman" w:eastAsia="Calibri,Times New Roman" w:hAnsi="Calibri,Times New Roman" w:cs="Calibri,Times New Roman"/>
        </w:rPr>
      </w:pPr>
      <w:r w:rsidRPr="15F58021">
        <w:rPr>
          <w:rFonts w:ascii="Calibri" w:eastAsia="Calibri" w:hAnsi="Calibri" w:cs="Calibri"/>
        </w:rPr>
        <w:t xml:space="preserve">As </w:t>
      </w:r>
      <w:r>
        <w:rPr>
          <w:rFonts w:ascii="Calibri" w:eastAsia="Calibri" w:hAnsi="Calibri" w:cs="Calibri"/>
        </w:rPr>
        <w:t>imaging</w:t>
      </w:r>
      <w:r w:rsidRPr="15F58021">
        <w:rPr>
          <w:rFonts w:ascii="Calibri" w:eastAsia="Calibri" w:hAnsi="Calibri" w:cs="Calibri"/>
        </w:rPr>
        <w:t xml:space="preserve"> programs may require many kinds of expertise, MJFF encourages industry and academic collaborations when appropriate. </w:t>
      </w:r>
    </w:p>
    <w:p w14:paraId="1C945785" w14:textId="77777777" w:rsidR="00B56613" w:rsidRDefault="00B56613" w:rsidP="00B56613">
      <w:pPr>
        <w:pStyle w:val="Heading1"/>
        <w:spacing w:before="0" w:line="240" w:lineRule="auto"/>
        <w:rPr>
          <w:sz w:val="24"/>
        </w:rPr>
      </w:pPr>
    </w:p>
    <w:p w14:paraId="2FCF73A7" w14:textId="375A1378" w:rsidR="00807E8B" w:rsidRPr="00412FFF" w:rsidRDefault="00B56613" w:rsidP="00B56613">
      <w:pPr>
        <w:pStyle w:val="Heading1"/>
        <w:spacing w:before="0" w:line="240" w:lineRule="auto"/>
        <w:rPr>
          <w:sz w:val="24"/>
        </w:rPr>
      </w:pPr>
      <w:r>
        <w:rPr>
          <w:sz w:val="24"/>
        </w:rPr>
        <w:t>ADDITIONAL INFORMATION</w:t>
      </w:r>
      <w:r w:rsidR="00807E8B" w:rsidRPr="00412FFF">
        <w:rPr>
          <w:sz w:val="24"/>
        </w:rPr>
        <w:t xml:space="preserve"> </w:t>
      </w:r>
    </w:p>
    <w:p w14:paraId="39D6CD70" w14:textId="77777777" w:rsidR="00B56613" w:rsidRPr="00B009A3" w:rsidRDefault="00B56613" w:rsidP="00B56613">
      <w:pPr>
        <w:spacing w:after="0" w:line="240" w:lineRule="auto"/>
      </w:pPr>
      <w:r>
        <w:t xml:space="preserve">Our </w:t>
      </w:r>
      <w:hyperlink r:id="rId13">
        <w:r w:rsidRPr="5BCC5E7C">
          <w:rPr>
            <w:rStyle w:val="Hyperlink"/>
          </w:rPr>
          <w:t>Administrative Guidelines</w:t>
        </w:r>
      </w:hyperlink>
      <w:r>
        <w:t xml:space="preserve"> provide general guidance about applying for funding from MJFF. Please note that the RFA always supersedes information contained in the Administrative Guidelines.</w:t>
      </w:r>
    </w:p>
    <w:p w14:paraId="0094038E" w14:textId="77777777" w:rsidR="00B56613" w:rsidRDefault="00B56613" w:rsidP="00B56613">
      <w:pPr>
        <w:spacing w:after="0" w:line="240" w:lineRule="auto"/>
      </w:pPr>
      <w:r w:rsidRPr="7BD8D981">
        <w:rPr>
          <w:rFonts w:ascii="Calibri" w:eastAsia="Calibri" w:hAnsi="Calibri" w:cs="Calibri"/>
        </w:rPr>
        <w:t xml:space="preserve"> </w:t>
      </w:r>
    </w:p>
    <w:p w14:paraId="49590519" w14:textId="29BD765F" w:rsidR="00B56613" w:rsidRDefault="00B56613" w:rsidP="00B56613">
      <w:pPr>
        <w:spacing w:after="0" w:line="240" w:lineRule="auto"/>
      </w:pPr>
      <w:r w:rsidRPr="5BCC5E7C">
        <w:rPr>
          <w:rFonts w:ascii="Calibri" w:eastAsia="Calibri" w:hAnsi="Calibri" w:cs="Calibri"/>
        </w:rPr>
        <w:t xml:space="preserve">MJFF will host an informational webinar on </w:t>
      </w:r>
      <w:r w:rsidR="000D3E37">
        <w:rPr>
          <w:rFonts w:ascii="Calibri" w:eastAsia="Calibri" w:hAnsi="Calibri" w:cs="Calibri"/>
        </w:rPr>
        <w:t>October 10</w:t>
      </w:r>
      <w:r w:rsidRPr="5BCC5E7C">
        <w:rPr>
          <w:rFonts w:ascii="Calibri" w:eastAsia="Calibri" w:hAnsi="Calibri" w:cs="Calibri"/>
        </w:rPr>
        <w:t>, 201</w:t>
      </w:r>
      <w:r>
        <w:rPr>
          <w:rFonts w:ascii="Calibri" w:eastAsia="Calibri" w:hAnsi="Calibri" w:cs="Calibri"/>
        </w:rPr>
        <w:t>9</w:t>
      </w:r>
      <w:r w:rsidRPr="5BCC5E7C">
        <w:rPr>
          <w:rFonts w:ascii="Calibri" w:eastAsia="Calibri" w:hAnsi="Calibri" w:cs="Calibri"/>
        </w:rPr>
        <w:t xml:space="preserve"> at 12 p.m. ET to clarify and explain the goals of </w:t>
      </w:r>
      <w:r>
        <w:rPr>
          <w:rFonts w:ascii="Calibri" w:eastAsia="Calibri" w:hAnsi="Calibri" w:cs="Calibri"/>
        </w:rPr>
        <w:t>our</w:t>
      </w:r>
      <w:r w:rsidRPr="5BCC5E7C">
        <w:rPr>
          <w:rFonts w:ascii="Calibri" w:eastAsia="Calibri" w:hAnsi="Calibri" w:cs="Calibri"/>
        </w:rPr>
        <w:t xml:space="preserve"> funding opportunities and answer applicant questions. The webinar will </w:t>
      </w:r>
      <w:r>
        <w:rPr>
          <w:rFonts w:ascii="Calibri" w:eastAsia="Calibri" w:hAnsi="Calibri" w:cs="Calibri"/>
        </w:rPr>
        <w:t xml:space="preserve">also </w:t>
      </w:r>
      <w:r w:rsidRPr="5BCC5E7C">
        <w:rPr>
          <w:rFonts w:ascii="Calibri" w:eastAsia="Calibri" w:hAnsi="Calibri" w:cs="Calibri"/>
        </w:rPr>
        <w:t xml:space="preserve">be available to view on-demand after the live airdate. To register, please </w:t>
      </w:r>
      <w:r w:rsidR="000D3E37">
        <w:rPr>
          <w:rFonts w:ascii="Calibri" w:eastAsia="Calibri" w:hAnsi="Calibri" w:cs="Calibri"/>
        </w:rPr>
        <w:t>clickthrough to this RFA webpage from our</w:t>
      </w:r>
      <w:r>
        <w:rPr>
          <w:rFonts w:ascii="Calibri" w:eastAsia="Calibri" w:hAnsi="Calibri" w:cs="Calibri"/>
        </w:rPr>
        <w:t xml:space="preserve"> </w:t>
      </w:r>
      <w:hyperlink r:id="rId14" w:history="1">
        <w:r w:rsidRPr="00703AFE">
          <w:rPr>
            <w:rStyle w:val="Hyperlink"/>
            <w:rFonts w:ascii="Calibri" w:eastAsia="Calibri" w:hAnsi="Calibri" w:cs="Calibri"/>
          </w:rPr>
          <w:t>Funding Opportunities</w:t>
        </w:r>
      </w:hyperlink>
      <w:r w:rsidRPr="5BCC5E7C">
        <w:rPr>
          <w:rFonts w:ascii="Calibri" w:eastAsia="Calibri" w:hAnsi="Calibri" w:cs="Calibri"/>
          <w:color w:val="0070C0"/>
        </w:rPr>
        <w:t xml:space="preserve"> </w:t>
      </w:r>
      <w:r w:rsidRPr="5BCC5E7C">
        <w:rPr>
          <w:rFonts w:ascii="Calibri" w:eastAsia="Calibri" w:hAnsi="Calibri" w:cs="Calibri"/>
        </w:rPr>
        <w:t>webpage.</w:t>
      </w:r>
      <w:r w:rsidRPr="7BD8D981">
        <w:rPr>
          <w:rFonts w:ascii="Calibri" w:eastAsia="Calibri" w:hAnsi="Calibri" w:cs="Calibri"/>
          <w:color w:val="333333"/>
          <w:sz w:val="24"/>
          <w:szCs w:val="24"/>
        </w:rPr>
        <w:t xml:space="preserve"> </w:t>
      </w:r>
    </w:p>
    <w:p w14:paraId="79CAFE27" w14:textId="77777777" w:rsidR="009254B0" w:rsidRDefault="009254B0" w:rsidP="00B56613">
      <w:pPr>
        <w:spacing w:after="0" w:line="240" w:lineRule="auto"/>
      </w:pPr>
    </w:p>
    <w:sectPr w:rsidR="009254B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1ABFD" w14:textId="77777777" w:rsidR="00A77318" w:rsidRDefault="00A77318" w:rsidP="00391757">
      <w:pPr>
        <w:spacing w:after="0" w:line="240" w:lineRule="auto"/>
      </w:pPr>
      <w:r>
        <w:separator/>
      </w:r>
    </w:p>
  </w:endnote>
  <w:endnote w:type="continuationSeparator" w:id="0">
    <w:p w14:paraId="0B668C41" w14:textId="77777777" w:rsidR="00A77318" w:rsidRDefault="00A77318" w:rsidP="0039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w:altName w:val="Arial Narrow"/>
    <w:charset w:val="00"/>
    <w:family w:val="swiss"/>
    <w:pitch w:val="variable"/>
    <w:sig w:usb0="A000002F" w:usb1="0000004B" w:usb2="00000000" w:usb3="00000000" w:csb0="00000093" w:csb1="00000000"/>
  </w:font>
  <w:font w:name="Bebas Neue,Calibri">
    <w:altName w:val="Times New Roman"/>
    <w:panose1 w:val="00000000000000000000"/>
    <w:charset w:val="00"/>
    <w:family w:val="roman"/>
    <w:notTrueType/>
    <w:pitch w:val="default"/>
  </w:font>
  <w:font w:name="Calibri,Times New Roman">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D5AC" w14:textId="77777777" w:rsidR="00A77318" w:rsidRDefault="00A77318" w:rsidP="00391757">
      <w:pPr>
        <w:spacing w:after="0" w:line="240" w:lineRule="auto"/>
      </w:pPr>
      <w:r>
        <w:separator/>
      </w:r>
    </w:p>
  </w:footnote>
  <w:footnote w:type="continuationSeparator" w:id="0">
    <w:p w14:paraId="644A3C4F" w14:textId="77777777" w:rsidR="00A77318" w:rsidRDefault="00A77318" w:rsidP="00391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0F53" w14:textId="67EC28CD" w:rsidR="00391757" w:rsidRDefault="00391757">
    <w:pPr>
      <w:pStyle w:val="Header"/>
    </w:pPr>
    <w:r>
      <w:ptab w:relativeTo="margin" w:alignment="center" w:leader="none"/>
    </w:r>
    <w:r>
      <w:ptab w:relativeTo="margin" w:alignment="right" w:leader="none"/>
    </w:r>
    <w:r>
      <w:rPr>
        <w:noProof/>
        <w:sz w:val="32"/>
        <w:lang w:bidi="he-IL"/>
      </w:rPr>
      <w:drawing>
        <wp:inline distT="0" distB="0" distL="0" distR="0" wp14:anchorId="69E62746" wp14:editId="3D7D8A5D">
          <wp:extent cx="1658620" cy="457200"/>
          <wp:effectExtent l="0" t="0" r="0" b="0"/>
          <wp:docPr id="1" name="Picture 1" descr="MJFF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FF logo 5"/>
                  <pic:cNvPicPr>
                    <a:picLocks noChangeAspect="1" noChangeArrowheads="1"/>
                  </pic:cNvPicPr>
                </pic:nvPicPr>
                <pic:blipFill>
                  <a:blip r:embed="rId1">
                    <a:extLst>
                      <a:ext uri="{28A0092B-C50C-407E-A947-70E740481C1C}">
                        <a14:useLocalDpi xmlns:a14="http://schemas.microsoft.com/office/drawing/2010/main" val="0"/>
                      </a:ext>
                    </a:extLst>
                  </a:blip>
                  <a:srcRect t="26190" b="21429"/>
                  <a:stretch>
                    <a:fillRect/>
                  </a:stretch>
                </pic:blipFill>
                <pic:spPr bwMode="auto">
                  <a:xfrm>
                    <a:off x="0" y="0"/>
                    <a:ext cx="165862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54C"/>
    <w:multiLevelType w:val="hybridMultilevel"/>
    <w:tmpl w:val="3086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564CF3"/>
    <w:multiLevelType w:val="hybridMultilevel"/>
    <w:tmpl w:val="AFC8074E"/>
    <w:lvl w:ilvl="0" w:tplc="8BF6D234">
      <w:start w:val="1"/>
      <w:numFmt w:val="bullet"/>
      <w:lvlText w:val=""/>
      <w:lvlJc w:val="left"/>
      <w:pPr>
        <w:ind w:left="720" w:hanging="360"/>
      </w:pPr>
      <w:rPr>
        <w:rFonts w:ascii="Symbol" w:hAnsi="Symbol" w:hint="default"/>
      </w:rPr>
    </w:lvl>
    <w:lvl w:ilvl="1" w:tplc="A52055B8">
      <w:start w:val="1"/>
      <w:numFmt w:val="bullet"/>
      <w:lvlText w:val="o"/>
      <w:lvlJc w:val="left"/>
      <w:pPr>
        <w:ind w:left="1440" w:hanging="360"/>
      </w:pPr>
      <w:rPr>
        <w:rFonts w:ascii="Courier New" w:hAnsi="Courier New" w:hint="default"/>
      </w:rPr>
    </w:lvl>
    <w:lvl w:ilvl="2" w:tplc="FCA2925A">
      <w:start w:val="1"/>
      <w:numFmt w:val="bullet"/>
      <w:lvlText w:val=""/>
      <w:lvlJc w:val="left"/>
      <w:pPr>
        <w:ind w:left="2160" w:hanging="360"/>
      </w:pPr>
      <w:rPr>
        <w:rFonts w:ascii="Wingdings" w:hAnsi="Wingdings" w:hint="default"/>
      </w:rPr>
    </w:lvl>
    <w:lvl w:ilvl="3" w:tplc="FD0A3554">
      <w:start w:val="1"/>
      <w:numFmt w:val="bullet"/>
      <w:lvlText w:val=""/>
      <w:lvlJc w:val="left"/>
      <w:pPr>
        <w:ind w:left="2880" w:hanging="360"/>
      </w:pPr>
      <w:rPr>
        <w:rFonts w:ascii="Symbol" w:hAnsi="Symbol" w:hint="default"/>
      </w:rPr>
    </w:lvl>
    <w:lvl w:ilvl="4" w:tplc="29ACFA40">
      <w:start w:val="1"/>
      <w:numFmt w:val="bullet"/>
      <w:lvlText w:val="o"/>
      <w:lvlJc w:val="left"/>
      <w:pPr>
        <w:ind w:left="3600" w:hanging="360"/>
      </w:pPr>
      <w:rPr>
        <w:rFonts w:ascii="Courier New" w:hAnsi="Courier New" w:hint="default"/>
      </w:rPr>
    </w:lvl>
    <w:lvl w:ilvl="5" w:tplc="131A0F58">
      <w:start w:val="1"/>
      <w:numFmt w:val="bullet"/>
      <w:lvlText w:val=""/>
      <w:lvlJc w:val="left"/>
      <w:pPr>
        <w:ind w:left="4320" w:hanging="360"/>
      </w:pPr>
      <w:rPr>
        <w:rFonts w:ascii="Wingdings" w:hAnsi="Wingdings" w:hint="default"/>
      </w:rPr>
    </w:lvl>
    <w:lvl w:ilvl="6" w:tplc="EA9AD536">
      <w:start w:val="1"/>
      <w:numFmt w:val="bullet"/>
      <w:lvlText w:val=""/>
      <w:lvlJc w:val="left"/>
      <w:pPr>
        <w:ind w:left="5040" w:hanging="360"/>
      </w:pPr>
      <w:rPr>
        <w:rFonts w:ascii="Symbol" w:hAnsi="Symbol" w:hint="default"/>
      </w:rPr>
    </w:lvl>
    <w:lvl w:ilvl="7" w:tplc="3668A442">
      <w:start w:val="1"/>
      <w:numFmt w:val="bullet"/>
      <w:lvlText w:val="o"/>
      <w:lvlJc w:val="left"/>
      <w:pPr>
        <w:ind w:left="5760" w:hanging="360"/>
      </w:pPr>
      <w:rPr>
        <w:rFonts w:ascii="Courier New" w:hAnsi="Courier New" w:hint="default"/>
      </w:rPr>
    </w:lvl>
    <w:lvl w:ilvl="8" w:tplc="0B22746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86"/>
    <w:rsid w:val="00085DC9"/>
    <w:rsid w:val="00086FF6"/>
    <w:rsid w:val="00092961"/>
    <w:rsid w:val="000A66B3"/>
    <w:rsid w:val="000B0D49"/>
    <w:rsid w:val="000D0544"/>
    <w:rsid w:val="000D3E37"/>
    <w:rsid w:val="000F3DDD"/>
    <w:rsid w:val="00155CF5"/>
    <w:rsid w:val="0016007D"/>
    <w:rsid w:val="001A27F8"/>
    <w:rsid w:val="001A72C4"/>
    <w:rsid w:val="00213870"/>
    <w:rsid w:val="002146EB"/>
    <w:rsid w:val="002313D0"/>
    <w:rsid w:val="002533C1"/>
    <w:rsid w:val="00276CFF"/>
    <w:rsid w:val="002D5B36"/>
    <w:rsid w:val="00391757"/>
    <w:rsid w:val="00412FFF"/>
    <w:rsid w:val="00427408"/>
    <w:rsid w:val="004A5535"/>
    <w:rsid w:val="00515670"/>
    <w:rsid w:val="005A69A8"/>
    <w:rsid w:val="005C6A59"/>
    <w:rsid w:val="00647B8C"/>
    <w:rsid w:val="006C3A51"/>
    <w:rsid w:val="006D5927"/>
    <w:rsid w:val="007132D6"/>
    <w:rsid w:val="00740DA7"/>
    <w:rsid w:val="00741ABA"/>
    <w:rsid w:val="007A7AEE"/>
    <w:rsid w:val="007C1AC8"/>
    <w:rsid w:val="00800D86"/>
    <w:rsid w:val="00800E71"/>
    <w:rsid w:val="00807E8B"/>
    <w:rsid w:val="008F4DBC"/>
    <w:rsid w:val="009254B0"/>
    <w:rsid w:val="009D4D76"/>
    <w:rsid w:val="009E2B23"/>
    <w:rsid w:val="00A156AC"/>
    <w:rsid w:val="00A2257A"/>
    <w:rsid w:val="00A22993"/>
    <w:rsid w:val="00A77318"/>
    <w:rsid w:val="00A77455"/>
    <w:rsid w:val="00AA725A"/>
    <w:rsid w:val="00B21D50"/>
    <w:rsid w:val="00B2610F"/>
    <w:rsid w:val="00B54C75"/>
    <w:rsid w:val="00B56613"/>
    <w:rsid w:val="00C0400F"/>
    <w:rsid w:val="00CE223D"/>
    <w:rsid w:val="00CE754B"/>
    <w:rsid w:val="00D230C2"/>
    <w:rsid w:val="00D27F81"/>
    <w:rsid w:val="00D92755"/>
    <w:rsid w:val="00DE03FD"/>
    <w:rsid w:val="00E205F9"/>
    <w:rsid w:val="00E929DA"/>
    <w:rsid w:val="00EC2197"/>
    <w:rsid w:val="00EF3088"/>
    <w:rsid w:val="00F3277F"/>
    <w:rsid w:val="00F575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BB3E"/>
  <w15:chartTrackingRefBased/>
  <w15:docId w15:val="{123EEA19-AB52-42EA-967C-A0C7EC79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D86"/>
    <w:pPr>
      <w:spacing w:after="200" w:line="276" w:lineRule="auto"/>
    </w:pPr>
  </w:style>
  <w:style w:type="paragraph" w:styleId="Heading1">
    <w:name w:val="heading 1"/>
    <w:basedOn w:val="Normal"/>
    <w:next w:val="Normal"/>
    <w:link w:val="Heading1Char"/>
    <w:uiPriority w:val="9"/>
    <w:qFormat/>
    <w:rsid w:val="00412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2F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1A72C4"/>
  </w:style>
  <w:style w:type="paragraph" w:styleId="ListParagraph">
    <w:name w:val="List Paragraph"/>
    <w:basedOn w:val="Normal"/>
    <w:link w:val="ListParagraphChar"/>
    <w:uiPriority w:val="34"/>
    <w:qFormat/>
    <w:rsid w:val="001A72C4"/>
    <w:pPr>
      <w:spacing w:after="160" w:line="256" w:lineRule="auto"/>
      <w:ind w:left="720"/>
      <w:contextualSpacing/>
    </w:pPr>
  </w:style>
  <w:style w:type="paragraph" w:styleId="NoSpacing">
    <w:name w:val="No Spacing"/>
    <w:uiPriority w:val="1"/>
    <w:qFormat/>
    <w:rsid w:val="001A72C4"/>
    <w:pPr>
      <w:spacing w:after="0" w:line="240" w:lineRule="auto"/>
    </w:pPr>
  </w:style>
  <w:style w:type="paragraph" w:customStyle="1" w:styleId="Default">
    <w:name w:val="Default"/>
    <w:rsid w:val="00807E8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12FF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12FF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C3A51"/>
    <w:rPr>
      <w:color w:val="0563C1" w:themeColor="hyperlink"/>
      <w:u w:val="single"/>
    </w:rPr>
  </w:style>
  <w:style w:type="paragraph" w:styleId="Header">
    <w:name w:val="header"/>
    <w:basedOn w:val="Normal"/>
    <w:link w:val="HeaderChar"/>
    <w:uiPriority w:val="99"/>
    <w:unhideWhenUsed/>
    <w:rsid w:val="0039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757"/>
  </w:style>
  <w:style w:type="paragraph" w:styleId="Footer">
    <w:name w:val="footer"/>
    <w:basedOn w:val="Normal"/>
    <w:link w:val="FooterChar"/>
    <w:uiPriority w:val="99"/>
    <w:unhideWhenUsed/>
    <w:rsid w:val="0039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757"/>
  </w:style>
  <w:style w:type="paragraph" w:styleId="BalloonText">
    <w:name w:val="Balloon Text"/>
    <w:basedOn w:val="Normal"/>
    <w:link w:val="BalloonTextChar"/>
    <w:uiPriority w:val="99"/>
    <w:semiHidden/>
    <w:unhideWhenUsed/>
    <w:rsid w:val="00B56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haeljfox.org/page.html?administrative-guidelin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chaeljfox.org/foundation/faq.html?navid=footer-fa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haeljfox.org/page.html?administrative-guidelin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chaeljfox.org/fu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8B07AC2CB1F49B8B18A0F7BFA7423" ma:contentTypeVersion="13" ma:contentTypeDescription="Create a new document." ma:contentTypeScope="" ma:versionID="e306b72dc6a04de9e92c2bfa6060f81c">
  <xsd:schema xmlns:xsd="http://www.w3.org/2001/XMLSchema" xmlns:xs="http://www.w3.org/2001/XMLSchema" xmlns:p="http://schemas.microsoft.com/office/2006/metadata/properties" xmlns:ns3="9ba9ff88-3b24-4b45-b564-2146b253f615" xmlns:ns4="bc95a227-869e-41a9-81aa-8c811f139568" targetNamespace="http://schemas.microsoft.com/office/2006/metadata/properties" ma:root="true" ma:fieldsID="bf6c9d6a85e6af7ab1643fde03e5f5e5" ns3:_="" ns4:_="">
    <xsd:import namespace="9ba9ff88-3b24-4b45-b564-2146b253f615"/>
    <xsd:import namespace="bc95a227-869e-41a9-81aa-8c811f1395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9ff88-3b24-4b45-b564-2146b253f6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95a227-869e-41a9-81aa-8c811f13956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CA115-3AAA-48BC-BC2D-6760FCEE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9ff88-3b24-4b45-b564-2146b253f615"/>
    <ds:schemaRef ds:uri="bc95a227-869e-41a9-81aa-8c811f139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17B1E-270D-490E-9593-5B5C506CFB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309798-50CF-4A9C-943F-467395AA8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Eberling</dc:creator>
  <cp:keywords/>
  <dc:description/>
  <cp:lastModifiedBy>Admin</cp:lastModifiedBy>
  <cp:revision>2</cp:revision>
  <dcterms:created xsi:type="dcterms:W3CDTF">2019-09-24T06:22:00Z</dcterms:created>
  <dcterms:modified xsi:type="dcterms:W3CDTF">2019-09-24T06:22:00Z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0x010100DDA8B07AC2CB1F49B8B18A0F7BFA7423</vt:lpwstr>
  </property>
</Properties>
</file>