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F5" w:rsidRDefault="00D367F5" w:rsidP="006E202B">
      <w:pPr>
        <w:bidi/>
        <w:rPr>
          <w:rFonts w:asciiTheme="minorBidi" w:hAnsiTheme="minorBidi" w:cstheme="minorBidi"/>
          <w:b/>
          <w:bCs/>
          <w:sz w:val="18"/>
          <w:szCs w:val="20"/>
        </w:rPr>
      </w:pPr>
    </w:p>
    <w:p w:rsidR="00D367F5" w:rsidRDefault="003E76EF" w:rsidP="00D367F5">
      <w:pPr>
        <w:bidi/>
        <w:rPr>
          <w:rFonts w:asciiTheme="minorBidi" w:hAnsiTheme="minorBidi" w:cstheme="minorBidi"/>
          <w:b/>
          <w:bCs/>
          <w:sz w:val="18"/>
          <w:szCs w:val="20"/>
        </w:rPr>
      </w:pPr>
      <w:r>
        <w:rPr>
          <w:rFonts w:asciiTheme="minorBidi" w:hAnsiTheme="minorBidi" w:cstheme="minorBidi" w:hint="cs"/>
          <w:b/>
          <w:bCs/>
          <w:sz w:val="18"/>
          <w:szCs w:val="20"/>
          <w:rtl/>
        </w:rPr>
        <w:t>12.1.21</w:t>
      </w:r>
      <w:bookmarkStart w:id="0" w:name="_GoBack"/>
      <w:bookmarkEnd w:id="0"/>
    </w:p>
    <w:p w:rsidR="006E202B" w:rsidRDefault="006E202B" w:rsidP="006E202B">
      <w:pPr>
        <w:bidi/>
        <w:rPr>
          <w:rFonts w:asciiTheme="minorBidi" w:hAnsiTheme="minorBidi" w:cstheme="minorBidi"/>
          <w:b/>
          <w:bCs/>
          <w:sz w:val="20"/>
          <w:szCs w:val="22"/>
        </w:rPr>
      </w:pP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b/>
          <w:bCs/>
          <w:color w:val="000000"/>
          <w:sz w:val="18"/>
          <w:szCs w:val="18"/>
        </w:rPr>
      </w:pPr>
      <w:r w:rsidRPr="00B4310D">
        <w:rPr>
          <w:rFonts w:asciiTheme="minorBidi" w:hAnsiTheme="minorBidi"/>
          <w:b/>
          <w:bCs/>
          <w:color w:val="000000"/>
          <w:sz w:val="18"/>
          <w:szCs w:val="18"/>
        </w:rPr>
        <w:t>1. Modernize Toxicology to Enhance Product Safety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b/>
          <w:bCs/>
          <w:color w:val="000000"/>
          <w:sz w:val="18"/>
          <w:szCs w:val="18"/>
        </w:rPr>
        <w:t>1</w:t>
      </w:r>
      <w:r w:rsidRPr="00B4310D">
        <w:rPr>
          <w:rFonts w:asciiTheme="minorBidi" w:hAnsiTheme="minorBidi"/>
          <w:color w:val="000000"/>
          <w:sz w:val="18"/>
          <w:szCs w:val="18"/>
        </w:rPr>
        <w:t>.1. Develop better models of human and animal (where applicable) adverse response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1.2. Identify and evaluate biomarkers and endpoints that can be used in non-clinical and clinical evaluations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 xml:space="preserve">1.3. Develop and Use computational methods and in </w:t>
      </w:r>
      <w:proofErr w:type="spellStart"/>
      <w:r w:rsidRPr="00B4310D">
        <w:rPr>
          <w:rFonts w:asciiTheme="minorBidi" w:hAnsiTheme="minorBidi"/>
          <w:color w:val="000000"/>
          <w:sz w:val="18"/>
          <w:szCs w:val="18"/>
        </w:rPr>
        <w:t>silico</w:t>
      </w:r>
      <w:proofErr w:type="spellEnd"/>
      <w:r w:rsidRPr="00B4310D">
        <w:rPr>
          <w:rFonts w:asciiTheme="minorBidi" w:hAnsiTheme="minorBidi"/>
          <w:color w:val="000000"/>
          <w:sz w:val="18"/>
          <w:szCs w:val="18"/>
        </w:rPr>
        <w:t xml:space="preserve"> modeling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b/>
          <w:bCs/>
          <w:color w:val="000000"/>
          <w:sz w:val="18"/>
          <w:szCs w:val="18"/>
        </w:rPr>
        <w:t xml:space="preserve">2. Stimulate Innovation in Clinical Evaluations and Personalized Medicine to Improve </w:t>
      </w:r>
      <w:r w:rsidRPr="00B4310D">
        <w:rPr>
          <w:rFonts w:asciiTheme="minorBidi" w:hAnsiTheme="minorBidi"/>
          <w:color w:val="000000"/>
          <w:sz w:val="18"/>
          <w:szCs w:val="18"/>
        </w:rPr>
        <w:t>Product Development and Patient Outcomes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2.1. Develop and refine clinical trial designs, endpoints and analysis methods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2.2. Leverage existing and future data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30303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2.3. Identify and qualify biomarkers and study endpoints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2.4. Facilitate Antimicrobial Drug Development and Address Antimicrobial Drug Resistance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2.5. Facilitate Drug Development and Appropriate Use for Patients with Serious Mental Illness.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2.6. Stimulate Innovation in Clinical Evaluations and Personalized Medicine to Improve Outcomes in Diverse Populations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2.7. Immuno-oncology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2.8. Cell /Gene and Personalized Neo-antigen-based Therapies for Cancer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2.9. Health Equity and special populations in oncology drug development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2.10. Oncology trial designs, end points and statistical methodologies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2.11. Pediatric Oncology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2.12. Precision Oncology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b/>
          <w:bCs/>
          <w:color w:val="000000"/>
          <w:sz w:val="18"/>
          <w:szCs w:val="18"/>
        </w:rPr>
      </w:pPr>
      <w:r w:rsidRPr="00B4310D">
        <w:rPr>
          <w:rFonts w:asciiTheme="minorBidi" w:hAnsiTheme="minorBidi"/>
          <w:b/>
          <w:bCs/>
          <w:color w:val="000000"/>
          <w:sz w:val="18"/>
          <w:szCs w:val="18"/>
        </w:rPr>
        <w:t>3. Support New Approaches to Improve Product Manufacturing and Quality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3.1. Enable development and evaluation of novel and improved materials and manufacturing methods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3.2. Develop new analytical and in vitro release methods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3.3. Develop assessment tools to support facility and product surveillance and monitoring of quality systems and processes.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3.4. Reduce risk of microbial contamination of products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3.5. Improve scientific approaches to evaluate generic drugs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3.6. Identify and Qualify Biomarkers that are Associated with Therapeutic Response in Animals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3.7. Develop a Regulatory Database for Species Identification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3.8. Develop methods to improve the cybersecurity of medical devices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b/>
          <w:bCs/>
          <w:color w:val="000000"/>
          <w:sz w:val="18"/>
          <w:szCs w:val="18"/>
        </w:rPr>
      </w:pPr>
      <w:r w:rsidRPr="00B4310D">
        <w:rPr>
          <w:rFonts w:asciiTheme="minorBidi" w:hAnsiTheme="minorBidi"/>
          <w:b/>
          <w:bCs/>
          <w:color w:val="000000"/>
          <w:sz w:val="18"/>
          <w:szCs w:val="18"/>
        </w:rPr>
        <w:t>4. Ensure FDA Readiness to Evaluate Innovative Emerging Technologies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4.1. Develop assessment tools for novel therapies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 xml:space="preserve">4.2. Evaluate technologies designed to reduce nonmedical use and overdose involving opioids and other medications with abuse potential. 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 xml:space="preserve">4.3. Evaluate drug safety in pediatric populations, which requires sources and methods for accurately measuring exposure (i.e. drug utilization) and outcomes. 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4.4 Develop and facilitate innovative technologies toward universal pathogen reduction of the blood supply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b/>
          <w:bCs/>
          <w:color w:val="000000"/>
          <w:sz w:val="18"/>
          <w:szCs w:val="18"/>
        </w:rPr>
      </w:pPr>
      <w:r w:rsidRPr="00B4310D">
        <w:rPr>
          <w:rFonts w:asciiTheme="minorBidi" w:hAnsiTheme="minorBidi"/>
          <w:b/>
          <w:bCs/>
          <w:color w:val="000000"/>
          <w:sz w:val="18"/>
          <w:szCs w:val="18"/>
        </w:rPr>
        <w:t>5. Harness Diverse Data through Information Sciences to Improve Health Outcome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5.1. Develop and apply simulation models for product life cycles, risk assessment, and other regulatory science uses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5.2. Develop and analyze large scale clinical and nonclinical data sets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5.3. Computer Modeling and Simulation to Assess Product Risk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5.4. Collect and use patient input in regulatory decision-making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5.5. Systems Modeling of the Opioid Crisis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5.6. Longitudinal Data to Study Trajectory of Substance Use Disorders.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5.7. Oncology Patient-Focused Drug Development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5.8. Oncology Safety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5.9. Rare Cancers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5.10. Other Rare Diseases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5.11. Oncology Real World Data (RWD) Utilization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5.12. Harness Diverse Data to Improve Health Outcomes in Diverse Populations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b/>
          <w:bCs/>
          <w:color w:val="000000"/>
          <w:sz w:val="18"/>
          <w:szCs w:val="18"/>
        </w:rPr>
      </w:pPr>
      <w:r w:rsidRPr="00B4310D">
        <w:rPr>
          <w:rFonts w:asciiTheme="minorBidi" w:hAnsiTheme="minorBidi"/>
          <w:b/>
          <w:bCs/>
          <w:color w:val="000000"/>
          <w:sz w:val="18"/>
          <w:szCs w:val="18"/>
        </w:rPr>
        <w:t>6. Implement a New Prevention-Focused Food Safety System to Protect Public Health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6.1. Establish and implement centralized planning and performance measurement processes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6.2. Maintain mission critical science capabilities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b/>
          <w:bCs/>
          <w:color w:val="000000"/>
          <w:sz w:val="18"/>
          <w:szCs w:val="18"/>
        </w:rPr>
      </w:pPr>
      <w:r w:rsidRPr="00B4310D">
        <w:rPr>
          <w:rFonts w:asciiTheme="minorBidi" w:hAnsiTheme="minorBidi"/>
          <w:b/>
          <w:bCs/>
          <w:color w:val="000000"/>
          <w:sz w:val="18"/>
          <w:szCs w:val="18"/>
        </w:rPr>
        <w:t>7. Facilitate Development and Availability of Medical Countermeasures (MCMs) to Protect Against Threats to U.S. and Global Health and Security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7.1. Develop, characterize, and qualify tools to support MCM development under the Animal Rule or Accelerated Approval2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7.2. Modernize tools to evaluate MCM product safety, efficacy, and quality; and secure the MCM supply chain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lastRenderedPageBreak/>
        <w:t>7.3. Advance the development of tools to enable the rapid development and availability of investigational MCMs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b/>
          <w:bCs/>
          <w:color w:val="000000"/>
          <w:sz w:val="18"/>
          <w:szCs w:val="18"/>
        </w:rPr>
      </w:pPr>
      <w:r w:rsidRPr="00B4310D">
        <w:rPr>
          <w:rFonts w:asciiTheme="minorBidi" w:hAnsiTheme="minorBidi"/>
          <w:b/>
          <w:bCs/>
          <w:color w:val="000000"/>
          <w:sz w:val="18"/>
          <w:szCs w:val="18"/>
        </w:rPr>
        <w:t>8. Strengthening Social and Behavioral Science at FDA by Enhancing Audience Understanding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8.1. Assess awareness and understanding of FDA communications, especially among diverse audiences and populations, and identify methods to improve the comprehension of content, including numerical information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8.2. Explore ways that FDA communications can best complement those communicated by industry and other organizations to enhance audience comprehension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8.3. Assess public understanding of regulatory terms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8.4. Evaluate timing of release of recall or warning messages, how and when these messages can enhance impact, and how to communicate the end of a recall or warning.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8.5. Studies to increase the safety of post-approval drug use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8.6. Studies to evaluate the safety of approved drug products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8.7. Informing and Enhancing Audience Understanding Among Diverse Populations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b/>
          <w:bCs/>
          <w:color w:val="000000"/>
          <w:sz w:val="18"/>
          <w:szCs w:val="18"/>
        </w:rPr>
      </w:pPr>
      <w:r w:rsidRPr="00B4310D">
        <w:rPr>
          <w:rFonts w:asciiTheme="minorBidi" w:hAnsiTheme="minorBidi"/>
          <w:b/>
          <w:bCs/>
          <w:color w:val="000000"/>
          <w:sz w:val="18"/>
          <w:szCs w:val="18"/>
        </w:rPr>
        <w:t>9. Strengthening the Global Product Safety Net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9.1. Advancing Global Public Health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9.2. Analyzing and Utilizing Global Data to Manage Risks</w:t>
      </w:r>
    </w:p>
    <w:p w:rsidR="003E76EF" w:rsidRPr="00B4310D" w:rsidRDefault="003E76EF" w:rsidP="003E76EF">
      <w:pPr>
        <w:autoSpaceDE w:val="0"/>
        <w:autoSpaceDN w:val="0"/>
        <w:adjustRightInd w:val="0"/>
        <w:rPr>
          <w:rFonts w:asciiTheme="minorBidi" w:hAnsiTheme="minorBidi"/>
          <w:color w:val="000000"/>
          <w:sz w:val="18"/>
          <w:szCs w:val="18"/>
        </w:rPr>
      </w:pPr>
      <w:r w:rsidRPr="00B4310D">
        <w:rPr>
          <w:rFonts w:asciiTheme="minorBidi" w:hAnsiTheme="minorBidi"/>
          <w:color w:val="000000"/>
          <w:sz w:val="18"/>
          <w:szCs w:val="18"/>
        </w:rPr>
        <w:t>9.3 Drug Shortages</w:t>
      </w:r>
    </w:p>
    <w:p w:rsidR="003E76EF" w:rsidRDefault="003E76EF" w:rsidP="003E76EF"/>
    <w:p w:rsidR="006E202B" w:rsidRDefault="006E202B" w:rsidP="006E202B">
      <w:pPr>
        <w:bidi/>
        <w:rPr>
          <w:rFonts w:asciiTheme="minorBidi" w:hAnsiTheme="minorBidi" w:cstheme="minorBidi"/>
          <w:b/>
          <w:bCs/>
          <w:sz w:val="20"/>
          <w:szCs w:val="22"/>
          <w:rtl/>
        </w:rPr>
      </w:pPr>
    </w:p>
    <w:p w:rsidR="009E6CFD" w:rsidRDefault="009E6CFD" w:rsidP="009E6CFD">
      <w:pPr>
        <w:bidi/>
        <w:rPr>
          <w:rFonts w:asciiTheme="minorBidi" w:hAnsiTheme="minorBidi" w:cstheme="minorBidi"/>
          <w:b/>
          <w:bCs/>
          <w:sz w:val="20"/>
          <w:szCs w:val="22"/>
          <w:rtl/>
        </w:rPr>
      </w:pPr>
    </w:p>
    <w:p w:rsidR="009E6CFD" w:rsidRDefault="009E6CFD" w:rsidP="009E6CFD">
      <w:pPr>
        <w:bidi/>
        <w:rPr>
          <w:rFonts w:asciiTheme="minorBidi" w:hAnsiTheme="minorBidi" w:cstheme="minorBidi"/>
          <w:b/>
          <w:bCs/>
          <w:sz w:val="20"/>
          <w:szCs w:val="22"/>
          <w:rtl/>
        </w:rPr>
      </w:pPr>
    </w:p>
    <w:p w:rsidR="009E6CFD" w:rsidRDefault="009E6CFD" w:rsidP="009E6CFD">
      <w:pPr>
        <w:bidi/>
        <w:rPr>
          <w:rFonts w:asciiTheme="minorBidi" w:hAnsiTheme="minorBidi" w:cstheme="minorBidi"/>
          <w:b/>
          <w:bCs/>
          <w:sz w:val="20"/>
          <w:szCs w:val="22"/>
          <w:rtl/>
        </w:rPr>
      </w:pPr>
    </w:p>
    <w:p w:rsidR="009E6CFD" w:rsidRDefault="009E6CFD" w:rsidP="009E6CFD">
      <w:pPr>
        <w:bidi/>
        <w:rPr>
          <w:rFonts w:asciiTheme="minorBidi" w:hAnsiTheme="minorBidi" w:cstheme="minorBidi"/>
          <w:b/>
          <w:bCs/>
          <w:sz w:val="20"/>
          <w:szCs w:val="22"/>
          <w:rtl/>
        </w:rPr>
      </w:pPr>
    </w:p>
    <w:p w:rsidR="009E6CFD" w:rsidRPr="004363DA" w:rsidRDefault="009E6CFD" w:rsidP="009E6CFD">
      <w:pPr>
        <w:bidi/>
        <w:rPr>
          <w:rFonts w:asciiTheme="minorBidi" w:hAnsiTheme="minorBidi" w:cstheme="minorBidi"/>
          <w:b/>
          <w:bCs/>
          <w:sz w:val="24"/>
          <w:szCs w:val="28"/>
          <w:rtl/>
        </w:rPr>
      </w:pPr>
    </w:p>
    <w:p w:rsidR="004363DA" w:rsidRDefault="004363DA" w:rsidP="004363DA">
      <w:pPr>
        <w:bidi/>
        <w:rPr>
          <w:rFonts w:ascii="Calibri" w:hAnsi="Calibri" w:cstheme="minorBidi"/>
          <w:b/>
          <w:bCs/>
          <w:sz w:val="24"/>
          <w:szCs w:val="28"/>
          <w:rtl/>
        </w:rPr>
      </w:pPr>
      <w:r w:rsidRPr="004363DA">
        <w:rPr>
          <w:rFonts w:ascii="Calibri" w:hAnsi="Calibri" w:cs="Calibri"/>
          <w:b/>
          <w:bCs/>
          <w:sz w:val="24"/>
          <w:szCs w:val="28"/>
        </w:rPr>
        <w:t xml:space="preserve"> </w:t>
      </w:r>
    </w:p>
    <w:p w:rsidR="004363DA" w:rsidRDefault="004363DA" w:rsidP="004363DA">
      <w:pPr>
        <w:bidi/>
        <w:rPr>
          <w:rFonts w:ascii="Calibri" w:hAnsi="Calibri" w:cstheme="minorBidi"/>
          <w:b/>
          <w:bCs/>
          <w:sz w:val="24"/>
          <w:szCs w:val="28"/>
          <w:rtl/>
        </w:rPr>
      </w:pPr>
    </w:p>
    <w:p w:rsidR="004363DA" w:rsidRDefault="004363DA" w:rsidP="004363DA">
      <w:pPr>
        <w:bidi/>
        <w:rPr>
          <w:rFonts w:ascii="Calibri" w:hAnsi="Calibri" w:cstheme="minorBidi"/>
          <w:b/>
          <w:bCs/>
          <w:sz w:val="24"/>
          <w:szCs w:val="28"/>
          <w:rtl/>
        </w:rPr>
      </w:pPr>
    </w:p>
    <w:sectPr w:rsidR="004363DA" w:rsidSect="003D1272">
      <w:headerReference w:type="default" r:id="rId6"/>
      <w:footerReference w:type="default" r:id="rId7"/>
      <w:pgSz w:w="11906" w:h="16838"/>
      <w:pgMar w:top="741" w:right="1416" w:bottom="1440" w:left="1800" w:header="750" w:footer="5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F59" w:rsidRDefault="00764F59" w:rsidP="003B47C2">
      <w:r>
        <w:separator/>
      </w:r>
    </w:p>
  </w:endnote>
  <w:endnote w:type="continuationSeparator" w:id="0">
    <w:p w:rsidR="00764F59" w:rsidRDefault="00764F59" w:rsidP="003B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C2" w:rsidRPr="00D07BF3" w:rsidRDefault="008C4B0A" w:rsidP="00D17BF0">
    <w:pPr>
      <w:pStyle w:val="Footer"/>
      <w:tabs>
        <w:tab w:val="clear" w:pos="8306"/>
      </w:tabs>
      <w:bidi/>
      <w:ind w:left="57" w:right="-1191" w:hanging="1134"/>
      <w:jc w:val="center"/>
      <w:rPr>
        <w:sz w:val="20"/>
        <w:szCs w:val="20"/>
        <w:rtl/>
      </w:rPr>
    </w:pPr>
    <w:r>
      <w:rPr>
        <w:rFonts w:hint="cs"/>
        <w:sz w:val="18"/>
        <w:szCs w:val="18"/>
        <w:rtl/>
      </w:rPr>
      <w:t xml:space="preserve"> </w:t>
    </w:r>
    <w:r>
      <w:rPr>
        <w:rFonts w:ascii="Arial Narrow" w:hAnsi="Arial Narrow"/>
        <w:spacing w:val="-16"/>
        <w:sz w:val="16"/>
        <w:szCs w:val="16"/>
      </w:rPr>
      <w:t xml:space="preserve"> </w:t>
    </w:r>
    <w:r w:rsidRPr="00A44168">
      <w:rPr>
        <w:rFonts w:ascii="Arial Narrow" w:hAnsi="Arial Narrow"/>
        <w:spacing w:val="-16"/>
        <w:sz w:val="18"/>
        <w:szCs w:val="18"/>
      </w:rPr>
      <w:sym w:font="Wingdings" w:char="F06C"/>
    </w:r>
    <w:r w:rsidRPr="00A44168">
      <w:rPr>
        <w:rFonts w:ascii="Arial Narrow" w:hAnsi="Arial Narrow"/>
        <w:spacing w:val="-16"/>
        <w:sz w:val="18"/>
        <w:szCs w:val="18"/>
      </w:rPr>
      <w:t xml:space="preserve"> </w:t>
    </w:r>
    <w:r w:rsidRPr="00A44168">
      <w:rPr>
        <w:rFonts w:ascii="Arial Narrow" w:hAnsi="Arial Narrow"/>
        <w:spacing w:val="-16"/>
        <w:sz w:val="18"/>
        <w:szCs w:val="18"/>
      </w:rPr>
      <w:sym w:font="Wingdings" w:char="F06C"/>
    </w:r>
    <w:r w:rsidRPr="00A44168">
      <w:rPr>
        <w:rFonts w:ascii="Arial Narrow" w:hAnsi="Arial Narrow"/>
        <w:spacing w:val="-16"/>
        <w:sz w:val="18"/>
        <w:szCs w:val="18"/>
      </w:rPr>
      <w:t xml:space="preserve"> </w:t>
    </w:r>
    <w:r w:rsidRPr="00A44168">
      <w:rPr>
        <w:rFonts w:ascii="Arial Narrow" w:hAnsi="Arial Narrow"/>
        <w:spacing w:val="-16"/>
        <w:sz w:val="18"/>
        <w:szCs w:val="18"/>
      </w:rPr>
      <w:sym w:font="Wingdings" w:char="F06C"/>
    </w:r>
    <w:r w:rsidR="003B47C2" w:rsidRPr="00D07BF3">
      <w:rPr>
        <w:rFonts w:hint="cs"/>
        <w:sz w:val="20"/>
        <w:szCs w:val="20"/>
        <w:rtl/>
      </w:rPr>
      <w:t xml:space="preserve">קריית האוניברסיטה, ת"ד </w:t>
    </w:r>
    <w:r w:rsidR="003B47C2" w:rsidRPr="00D07BF3">
      <w:rPr>
        <w:rFonts w:hint="cs"/>
        <w:sz w:val="18"/>
        <w:szCs w:val="18"/>
        <w:rtl/>
      </w:rPr>
      <w:t>39040</w:t>
    </w:r>
    <w:r w:rsidR="003B47C2" w:rsidRPr="00D07BF3">
      <w:rPr>
        <w:rFonts w:hint="cs"/>
        <w:sz w:val="20"/>
        <w:szCs w:val="20"/>
        <w:rtl/>
      </w:rPr>
      <w:t xml:space="preserve">, רמת-אביב, תל-אביב </w:t>
    </w:r>
    <w:r w:rsidR="003B47C2" w:rsidRPr="00D07BF3">
      <w:rPr>
        <w:rFonts w:hint="cs"/>
        <w:sz w:val="18"/>
        <w:szCs w:val="18"/>
        <w:rtl/>
      </w:rPr>
      <w:t>61390</w:t>
    </w:r>
    <w:r w:rsidR="00285867" w:rsidRPr="00D07BF3">
      <w:rPr>
        <w:rFonts w:hint="cs"/>
        <w:sz w:val="18"/>
        <w:szCs w:val="18"/>
        <w:rtl/>
      </w:rPr>
      <w:t>01</w:t>
    </w:r>
    <w:r w:rsidR="003B47C2" w:rsidRPr="00D07BF3">
      <w:rPr>
        <w:rFonts w:hint="cs"/>
        <w:sz w:val="20"/>
        <w:szCs w:val="20"/>
        <w:rtl/>
      </w:rPr>
      <w:t xml:space="preserve">; טל': </w:t>
    </w:r>
    <w:r w:rsidR="003B47C2" w:rsidRPr="00D07BF3">
      <w:rPr>
        <w:rFonts w:hint="cs"/>
        <w:sz w:val="18"/>
        <w:szCs w:val="18"/>
        <w:rtl/>
      </w:rPr>
      <w:t>03-6408</w:t>
    </w:r>
    <w:r w:rsidR="0021604B" w:rsidRPr="00D07BF3">
      <w:rPr>
        <w:rFonts w:hint="cs"/>
        <w:sz w:val="18"/>
        <w:szCs w:val="18"/>
        <w:rtl/>
      </w:rPr>
      <w:t>774</w:t>
    </w:r>
    <w:r w:rsidR="003B47C2" w:rsidRPr="00D07BF3">
      <w:rPr>
        <w:rFonts w:hint="cs"/>
        <w:sz w:val="18"/>
        <w:szCs w:val="18"/>
        <w:rtl/>
      </w:rPr>
      <w:t xml:space="preserve">; </w:t>
    </w:r>
    <w:r w:rsidR="00D17BF0" w:rsidRPr="00D07BF3">
      <w:rPr>
        <w:sz w:val="18"/>
        <w:szCs w:val="18"/>
      </w:rPr>
      <w:t>03-6410251</w:t>
    </w:r>
    <w:r w:rsidR="00D17BF0" w:rsidRPr="00D07BF3">
      <w:rPr>
        <w:rFonts w:hint="cs"/>
        <w:sz w:val="20"/>
        <w:szCs w:val="20"/>
        <w:rtl/>
      </w:rPr>
      <w:t xml:space="preserve">; </w:t>
    </w:r>
    <w:r w:rsidR="003B47C2" w:rsidRPr="00D07BF3">
      <w:rPr>
        <w:rFonts w:hint="cs"/>
        <w:sz w:val="20"/>
        <w:szCs w:val="20"/>
        <w:rtl/>
      </w:rPr>
      <w:t xml:space="preserve">פקס': </w:t>
    </w:r>
    <w:r w:rsidR="003B47C2" w:rsidRPr="00D07BF3">
      <w:rPr>
        <w:rFonts w:hint="cs"/>
        <w:sz w:val="18"/>
        <w:szCs w:val="18"/>
        <w:rtl/>
      </w:rPr>
      <w:t>03-</w:t>
    </w:r>
    <w:r w:rsidR="0021604B" w:rsidRPr="00D07BF3">
      <w:rPr>
        <w:rFonts w:hint="cs"/>
        <w:sz w:val="18"/>
        <w:szCs w:val="18"/>
        <w:rtl/>
      </w:rPr>
      <w:t>6409697</w:t>
    </w:r>
  </w:p>
  <w:p w:rsidR="003B47C2" w:rsidRPr="00D07BF3" w:rsidRDefault="003B47C2" w:rsidP="00AC4BF0">
    <w:pPr>
      <w:pStyle w:val="Footer"/>
      <w:tabs>
        <w:tab w:val="clear" w:pos="8306"/>
      </w:tabs>
      <w:bidi/>
      <w:ind w:left="57" w:right="-1191" w:hanging="1134"/>
      <w:jc w:val="center"/>
      <w:rPr>
        <w:sz w:val="20"/>
        <w:szCs w:val="20"/>
        <w:rtl/>
      </w:rPr>
    </w:pPr>
    <w:r w:rsidRPr="00AC4BF0">
      <w:rPr>
        <w:sz w:val="18"/>
        <w:szCs w:val="18"/>
      </w:rPr>
      <w:t>P.O.B</w:t>
    </w:r>
    <w:r w:rsidRPr="00D07BF3">
      <w:rPr>
        <w:sz w:val="20"/>
        <w:szCs w:val="20"/>
      </w:rPr>
      <w:t>.</w:t>
    </w:r>
    <w:r w:rsidRPr="00D07BF3">
      <w:rPr>
        <w:sz w:val="18"/>
        <w:szCs w:val="18"/>
      </w:rPr>
      <w:t>39040</w:t>
    </w:r>
    <w:r w:rsidRPr="00D07BF3">
      <w:rPr>
        <w:sz w:val="20"/>
        <w:szCs w:val="20"/>
      </w:rPr>
      <w:t>,</w:t>
    </w:r>
    <w:r w:rsidR="00AC4BF0">
      <w:rPr>
        <w:sz w:val="18"/>
        <w:szCs w:val="18"/>
      </w:rPr>
      <w:t xml:space="preserve"> </w:t>
    </w:r>
    <w:r w:rsidRPr="00AC4BF0">
      <w:rPr>
        <w:sz w:val="18"/>
        <w:szCs w:val="18"/>
      </w:rPr>
      <w:t>Ramat Aviv,</w:t>
    </w:r>
    <w:r w:rsidR="00AC4BF0">
      <w:rPr>
        <w:sz w:val="18"/>
        <w:szCs w:val="18"/>
      </w:rPr>
      <w:t xml:space="preserve"> </w:t>
    </w:r>
    <w:r w:rsidRPr="00AC4BF0">
      <w:rPr>
        <w:sz w:val="18"/>
        <w:szCs w:val="18"/>
      </w:rPr>
      <w:t>Tel Aviv</w:t>
    </w:r>
    <w:r w:rsidR="00285867" w:rsidRPr="00D07BF3">
      <w:rPr>
        <w:sz w:val="20"/>
        <w:szCs w:val="20"/>
      </w:rPr>
      <w:t xml:space="preserve"> </w:t>
    </w:r>
    <w:r w:rsidR="00285867" w:rsidRPr="00D07BF3">
      <w:rPr>
        <w:sz w:val="18"/>
        <w:szCs w:val="18"/>
      </w:rPr>
      <w:t>6139001</w:t>
    </w:r>
    <w:r w:rsidR="00285867" w:rsidRPr="00D07BF3">
      <w:rPr>
        <w:sz w:val="20"/>
        <w:szCs w:val="20"/>
      </w:rPr>
      <w:t>,</w:t>
    </w:r>
    <w:r w:rsidRPr="00D07BF3">
      <w:rPr>
        <w:sz w:val="20"/>
        <w:szCs w:val="20"/>
      </w:rPr>
      <w:t xml:space="preserve"> </w:t>
    </w:r>
    <w:r w:rsidRPr="00AC4BF0">
      <w:rPr>
        <w:sz w:val="18"/>
        <w:szCs w:val="18"/>
      </w:rPr>
      <w:t>Israel</w:t>
    </w:r>
    <w:r w:rsidR="008D0F5A" w:rsidRPr="00AC4BF0">
      <w:rPr>
        <w:sz w:val="18"/>
        <w:szCs w:val="18"/>
      </w:rPr>
      <w:t>; Tel</w:t>
    </w:r>
    <w:r w:rsidR="008D0F5A" w:rsidRPr="00D07BF3">
      <w:rPr>
        <w:sz w:val="20"/>
        <w:szCs w:val="20"/>
      </w:rPr>
      <w:t>:</w:t>
    </w:r>
    <w:r w:rsidR="008D0F5A" w:rsidRPr="00D07BF3">
      <w:rPr>
        <w:sz w:val="18"/>
        <w:szCs w:val="18"/>
      </w:rPr>
      <w:t xml:space="preserve"> </w:t>
    </w:r>
    <w:r w:rsidR="00AC4BF0">
      <w:rPr>
        <w:sz w:val="18"/>
        <w:szCs w:val="18"/>
      </w:rPr>
      <w:t>+</w:t>
    </w:r>
    <w:r w:rsidR="008D0F5A" w:rsidRPr="00D07BF3">
      <w:rPr>
        <w:sz w:val="18"/>
        <w:szCs w:val="18"/>
      </w:rPr>
      <w:t>972-3-640</w:t>
    </w:r>
    <w:r w:rsidR="0021604B" w:rsidRPr="00D07BF3">
      <w:rPr>
        <w:sz w:val="18"/>
        <w:szCs w:val="18"/>
      </w:rPr>
      <w:t>8774</w:t>
    </w:r>
    <w:r w:rsidR="008D0F5A" w:rsidRPr="00D07BF3">
      <w:rPr>
        <w:sz w:val="18"/>
        <w:szCs w:val="18"/>
      </w:rPr>
      <w:t>;</w:t>
    </w:r>
    <w:r w:rsidR="00D17BF0" w:rsidRPr="00D07BF3">
      <w:rPr>
        <w:sz w:val="18"/>
        <w:szCs w:val="18"/>
      </w:rPr>
      <w:t xml:space="preserve"> </w:t>
    </w:r>
    <w:r w:rsidR="00AC4BF0">
      <w:rPr>
        <w:sz w:val="18"/>
        <w:szCs w:val="18"/>
      </w:rPr>
      <w:t>+</w:t>
    </w:r>
    <w:r w:rsidR="00D66AC0">
      <w:rPr>
        <w:sz w:val="18"/>
        <w:szCs w:val="18"/>
      </w:rPr>
      <w:t>972-</w:t>
    </w:r>
    <w:r w:rsidR="00D17BF0" w:rsidRPr="00D07BF3">
      <w:rPr>
        <w:sz w:val="18"/>
        <w:szCs w:val="18"/>
      </w:rPr>
      <w:t>3-6410251</w:t>
    </w:r>
    <w:r w:rsidR="00D17BF0" w:rsidRPr="00D07BF3">
      <w:rPr>
        <w:sz w:val="20"/>
        <w:szCs w:val="20"/>
      </w:rPr>
      <w:t>;</w:t>
    </w:r>
    <w:r w:rsidR="008D0F5A" w:rsidRPr="00D07BF3">
      <w:rPr>
        <w:sz w:val="20"/>
        <w:szCs w:val="20"/>
      </w:rPr>
      <w:t xml:space="preserve"> </w:t>
    </w:r>
    <w:r w:rsidR="008D0F5A" w:rsidRPr="00AC4BF0">
      <w:rPr>
        <w:sz w:val="18"/>
        <w:szCs w:val="18"/>
      </w:rPr>
      <w:t>Fax</w:t>
    </w:r>
    <w:r w:rsidR="008D0F5A" w:rsidRPr="00D07BF3">
      <w:rPr>
        <w:sz w:val="18"/>
        <w:szCs w:val="18"/>
      </w:rPr>
      <w:t xml:space="preserve">: </w:t>
    </w:r>
    <w:r w:rsidR="00AC4BF0">
      <w:rPr>
        <w:sz w:val="18"/>
        <w:szCs w:val="18"/>
      </w:rPr>
      <w:t>+</w:t>
    </w:r>
    <w:r w:rsidR="008D0F5A" w:rsidRPr="00D07BF3">
      <w:rPr>
        <w:sz w:val="18"/>
        <w:szCs w:val="18"/>
      </w:rPr>
      <w:t>972-3-64</w:t>
    </w:r>
    <w:r w:rsidR="0021604B" w:rsidRPr="00D07BF3">
      <w:rPr>
        <w:sz w:val="18"/>
        <w:szCs w:val="18"/>
      </w:rPr>
      <w:t>09697</w:t>
    </w:r>
    <w:r w:rsidR="00AC4BF0">
      <w:rPr>
        <w:sz w:val="18"/>
        <w:szCs w:val="18"/>
      </w:rPr>
      <w:t xml:space="preserve"> </w:t>
    </w:r>
    <w:r w:rsidR="00A44168">
      <w:rPr>
        <w:sz w:val="18"/>
        <w:szCs w:val="18"/>
      </w:rPr>
      <w:t xml:space="preserve"> </w:t>
    </w:r>
    <w:r w:rsidR="00D07BF3">
      <w:rPr>
        <w:sz w:val="18"/>
        <w:szCs w:val="18"/>
      </w:rPr>
      <w:t xml:space="preserve"> </w:t>
    </w:r>
    <w:r w:rsidR="008C4B0A" w:rsidRPr="00D07BF3">
      <w:rPr>
        <w:sz w:val="18"/>
        <w:szCs w:val="18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F59" w:rsidRDefault="00764F59" w:rsidP="003B47C2">
      <w:r>
        <w:separator/>
      </w:r>
    </w:p>
  </w:footnote>
  <w:footnote w:type="continuationSeparator" w:id="0">
    <w:p w:rsidR="00764F59" w:rsidRDefault="00764F59" w:rsidP="003B4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F39" w:rsidRDefault="00D66AC0" w:rsidP="00D07BF3">
    <w:pPr>
      <w:pStyle w:val="Header"/>
      <w:tabs>
        <w:tab w:val="clear" w:pos="4153"/>
        <w:tab w:val="clear" w:pos="8306"/>
        <w:tab w:val="center" w:pos="4500"/>
      </w:tabs>
      <w:ind w:left="-567" w:right="-670"/>
      <w:jc w:val="center"/>
    </w:pPr>
    <w:r w:rsidRPr="00D367F5">
      <w:rPr>
        <w:rFonts w:asciiTheme="minorBidi" w:hAnsiTheme="minorBidi" w:cstheme="minorBidi"/>
        <w:b/>
        <w:bCs/>
        <w:noProof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EF12F4B" wp14:editId="65B02AFB">
              <wp:simplePos x="0" y="0"/>
              <wp:positionH relativeFrom="column">
                <wp:posOffset>-297019</wp:posOffset>
              </wp:positionH>
              <wp:positionV relativeFrom="paragraph">
                <wp:posOffset>109855</wp:posOffset>
              </wp:positionV>
              <wp:extent cx="1599679" cy="299720"/>
              <wp:effectExtent l="0" t="0" r="635" b="5080"/>
              <wp:wrapNone/>
              <wp:docPr id="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599679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6AC0" w:rsidRPr="00D367F5" w:rsidRDefault="00D66AC0" w:rsidP="00D66AC0">
                          <w:pPr>
                            <w:rPr>
                              <w:rFonts w:ascii="Arial Narrow" w:hAnsi="Arial Narrow"/>
                              <w:spacing w:val="-16"/>
                              <w:szCs w:val="22"/>
                            </w:rPr>
                          </w:pPr>
                          <w:r w:rsidRPr="002748E5">
                            <w:rPr>
                              <w:rFonts w:hint="cs"/>
                              <w:spacing w:val="-16"/>
                              <w:sz w:val="24"/>
                              <w:rtl/>
                            </w:rPr>
                            <w:t xml:space="preserve"> </w:t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sym w:font="Wingdings" w:char="F06C"/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sym w:font="Wingdings" w:char="F06C"/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sym w:font="Wingdings" w:char="F06C"/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24"/>
                            </w:rPr>
                            <w:t xml:space="preserve"> </w:t>
                          </w:r>
                          <w:r w:rsidRPr="0037148B">
                            <w:rPr>
                              <w:rFonts w:ascii="Arial Narrow" w:hAnsi="Arial Narrow"/>
                              <w:szCs w:val="22"/>
                            </w:rPr>
                            <w:t>Research Authority</w:t>
                          </w:r>
                          <w:r>
                            <w:rPr>
                              <w:rFonts w:ascii="Arial Narrow" w:hAnsi="Arial Narrow"/>
                              <w:spacing w:val="-16"/>
                              <w:szCs w:val="22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F12F4B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-23.4pt;margin-top:8.65pt;width:125.95pt;height:23.6pt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" stroked="f">
              <v:textbox>
                <w:txbxContent>
                  <w:p w:rsidR="00D66AC0" w:rsidRPr="00D367F5" w:rsidRDefault="00D66AC0" w:rsidP="00D66AC0">
                    <w:pPr>
                      <w:rPr>
                        <w:rFonts w:ascii="Arial Narrow" w:hAnsi="Arial Narrow"/>
                        <w:spacing w:val="-16"/>
                        <w:szCs w:val="22"/>
                      </w:rPr>
                    </w:pPr>
                    <w:r w:rsidRPr="002748E5">
                      <w:rPr>
                        <w:rFonts w:hint="cs"/>
                        <w:spacing w:val="-16"/>
                        <w:sz w:val="24"/>
                        <w:rtl/>
                      </w:rPr>
                      <w:t xml:space="preserve"> </w:t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sym w:font="Wingdings" w:char="F06C"/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t xml:space="preserve"> </w:t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sym w:font="Wingdings" w:char="F06C"/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t xml:space="preserve"> </w:t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sym w:font="Wingdings" w:char="F06C"/>
                    </w:r>
                    <w:r w:rsidRPr="002748E5">
                      <w:rPr>
                        <w:rFonts w:ascii="Arial Narrow" w:hAnsi="Arial Narrow"/>
                        <w:spacing w:val="-16"/>
                        <w:sz w:val="24"/>
                      </w:rPr>
                      <w:t xml:space="preserve"> </w:t>
                    </w:r>
                    <w:r w:rsidRPr="0037148B">
                      <w:rPr>
                        <w:rFonts w:ascii="Arial Narrow" w:hAnsi="Arial Narrow"/>
                        <w:szCs w:val="22"/>
                      </w:rPr>
                      <w:t>Research Authority</w:t>
                    </w:r>
                    <w:r>
                      <w:rPr>
                        <w:rFonts w:ascii="Arial Narrow" w:hAnsi="Arial Narrow"/>
                        <w:spacing w:val="-16"/>
                        <w:szCs w:val="22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D367F5">
      <w:rPr>
        <w:rFonts w:asciiTheme="minorBidi" w:hAnsiTheme="minorBidi" w:cstheme="minorBidi"/>
        <w:b/>
        <w:bCs/>
        <w:noProof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6DDE1D" wp14:editId="3BEECCD6">
              <wp:simplePos x="0" y="0"/>
              <wp:positionH relativeFrom="column">
                <wp:posOffset>4334671</wp:posOffset>
              </wp:positionH>
              <wp:positionV relativeFrom="paragraph">
                <wp:posOffset>109220</wp:posOffset>
              </wp:positionV>
              <wp:extent cx="1258570" cy="299720"/>
              <wp:effectExtent l="0" t="0" r="0" b="5080"/>
              <wp:wrapNone/>
              <wp:docPr id="6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258570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6AC0" w:rsidRPr="00D367F5" w:rsidRDefault="00D66AC0" w:rsidP="00D66AC0">
                          <w:pPr>
                            <w:jc w:val="right"/>
                            <w:rPr>
                              <w:rFonts w:ascii="Arial Narrow" w:hAnsi="Arial Narrow"/>
                              <w:spacing w:val="-16"/>
                              <w:szCs w:val="22"/>
                            </w:rPr>
                          </w:pPr>
                          <w:r>
                            <w:rPr>
                              <w:rFonts w:hint="cs"/>
                              <w:spacing w:val="-16"/>
                              <w:szCs w:val="22"/>
                              <w:rtl/>
                            </w:rPr>
                            <w:t xml:space="preserve"> </w:t>
                          </w:r>
                          <w:r w:rsidRPr="0037148B">
                            <w:rPr>
                              <w:rFonts w:hint="cs"/>
                              <w:spacing w:val="-16"/>
                              <w:sz w:val="24"/>
                              <w:rtl/>
                            </w:rPr>
                            <w:t>רשו</w:t>
                          </w:r>
                          <w:r>
                            <w:rPr>
                              <w:rFonts w:hint="cs"/>
                              <w:spacing w:val="-16"/>
                              <w:sz w:val="24"/>
                              <w:rtl/>
                            </w:rPr>
                            <w:t>ת</w:t>
                          </w:r>
                          <w:r w:rsidRPr="0037148B">
                            <w:rPr>
                              <w:rFonts w:hint="cs"/>
                              <w:spacing w:val="-16"/>
                              <w:sz w:val="24"/>
                              <w:rtl/>
                            </w:rPr>
                            <w:t xml:space="preserve"> המחקר</w:t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sym w:font="Wingdings" w:char="F06C"/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sym w:font="Wingdings" w:char="F06C"/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748E5">
                            <w:rPr>
                              <w:rFonts w:ascii="Arial Narrow" w:hAnsi="Arial Narrow"/>
                              <w:spacing w:val="-16"/>
                              <w:sz w:val="18"/>
                              <w:szCs w:val="18"/>
                            </w:rPr>
                            <w:sym w:font="Wingdings" w:char="F06C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6DDE1D" id="_x0000_s1027" type="#_x0000_t202" style="position:absolute;left:0;text-align:left;margin-left:341.3pt;margin-top:8.6pt;width:99.1pt;height:23.6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" stroked="f">
              <v:textbox>
                <w:txbxContent>
                  <w:p w:rsidR="00D66AC0" w:rsidRPr="00D367F5" w:rsidRDefault="00D66AC0" w:rsidP="00D66AC0">
                    <w:pPr>
                      <w:jc w:val="right"/>
                      <w:rPr>
                        <w:rFonts w:ascii="Arial Narrow" w:hAnsi="Arial Narrow"/>
                        <w:spacing w:val="-16"/>
                        <w:szCs w:val="22"/>
                      </w:rPr>
                    </w:pPr>
                    <w:r>
                      <w:rPr>
                        <w:rFonts w:hint="cs"/>
                        <w:spacing w:val="-16"/>
                        <w:szCs w:val="22"/>
                        <w:rtl/>
                      </w:rPr>
                      <w:t xml:space="preserve"> </w:t>
                    </w:r>
                    <w:r w:rsidRPr="0037148B">
                      <w:rPr>
                        <w:rFonts w:hint="cs"/>
                        <w:spacing w:val="-16"/>
                        <w:sz w:val="24"/>
                        <w:rtl/>
                      </w:rPr>
                      <w:t>רשו</w:t>
                    </w:r>
                    <w:r>
                      <w:rPr>
                        <w:rFonts w:hint="cs"/>
                        <w:spacing w:val="-16"/>
                        <w:sz w:val="24"/>
                        <w:rtl/>
                      </w:rPr>
                      <w:t>ת</w:t>
                    </w:r>
                    <w:r w:rsidRPr="0037148B">
                      <w:rPr>
                        <w:rFonts w:hint="cs"/>
                        <w:spacing w:val="-16"/>
                        <w:sz w:val="24"/>
                        <w:rtl/>
                      </w:rPr>
                      <w:t xml:space="preserve"> המחקר</w:t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sym w:font="Wingdings" w:char="F06C"/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t xml:space="preserve"> </w:t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sym w:font="Wingdings" w:char="F06C"/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t xml:space="preserve"> </w:t>
                    </w:r>
                    <w:r w:rsidRPr="002748E5">
                      <w:rPr>
                        <w:rFonts w:ascii="Arial Narrow" w:hAnsi="Arial Narrow"/>
                        <w:spacing w:val="-16"/>
                        <w:sz w:val="18"/>
                        <w:szCs w:val="18"/>
                      </w:rPr>
                      <w:sym w:font="Wingdings" w:char="F06C"/>
                    </w:r>
                  </w:p>
                </w:txbxContent>
              </v:textbox>
            </v:shape>
          </w:pict>
        </mc:Fallback>
      </mc:AlternateContent>
    </w:r>
    <w:r w:rsidR="00D4558D">
      <w:rPr>
        <w:noProof/>
      </w:rPr>
      <w:drawing>
        <wp:inline distT="0" distB="0" distL="0" distR="0" wp14:anchorId="53350076" wp14:editId="335F9D16">
          <wp:extent cx="1718491" cy="968756"/>
          <wp:effectExtent l="0" t="0" r="0" b="317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ממותג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666" cy="969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67"/>
    <w:rsid w:val="00002612"/>
    <w:rsid w:val="0000344A"/>
    <w:rsid w:val="00043546"/>
    <w:rsid w:val="000E4790"/>
    <w:rsid w:val="000E7CB6"/>
    <w:rsid w:val="000F1A1B"/>
    <w:rsid w:val="0010059F"/>
    <w:rsid w:val="00106DAB"/>
    <w:rsid w:val="001703B8"/>
    <w:rsid w:val="00174492"/>
    <w:rsid w:val="001F3C46"/>
    <w:rsid w:val="0021604B"/>
    <w:rsid w:val="002748E5"/>
    <w:rsid w:val="002768BF"/>
    <w:rsid w:val="00285867"/>
    <w:rsid w:val="002B46FC"/>
    <w:rsid w:val="002B5ECB"/>
    <w:rsid w:val="002D14D5"/>
    <w:rsid w:val="0037148B"/>
    <w:rsid w:val="0037203D"/>
    <w:rsid w:val="00390BB2"/>
    <w:rsid w:val="003970DC"/>
    <w:rsid w:val="003B47C2"/>
    <w:rsid w:val="003C5E59"/>
    <w:rsid w:val="003C78EA"/>
    <w:rsid w:val="003D1272"/>
    <w:rsid w:val="003E76EF"/>
    <w:rsid w:val="004279A3"/>
    <w:rsid w:val="004363DA"/>
    <w:rsid w:val="00530659"/>
    <w:rsid w:val="00534B9F"/>
    <w:rsid w:val="005656FD"/>
    <w:rsid w:val="00592853"/>
    <w:rsid w:val="005C695C"/>
    <w:rsid w:val="006E202B"/>
    <w:rsid w:val="00726170"/>
    <w:rsid w:val="00764F59"/>
    <w:rsid w:val="00790322"/>
    <w:rsid w:val="007D1ED3"/>
    <w:rsid w:val="008C4B0A"/>
    <w:rsid w:val="008C6D9D"/>
    <w:rsid w:val="008D0F5A"/>
    <w:rsid w:val="00957BD2"/>
    <w:rsid w:val="009621EA"/>
    <w:rsid w:val="009E6CFD"/>
    <w:rsid w:val="009F36C9"/>
    <w:rsid w:val="00A10686"/>
    <w:rsid w:val="00A44168"/>
    <w:rsid w:val="00A91736"/>
    <w:rsid w:val="00A96DEF"/>
    <w:rsid w:val="00AC4BF0"/>
    <w:rsid w:val="00B11057"/>
    <w:rsid w:val="00B32F3C"/>
    <w:rsid w:val="00B631F5"/>
    <w:rsid w:val="00B664B8"/>
    <w:rsid w:val="00C61ACB"/>
    <w:rsid w:val="00C95F7B"/>
    <w:rsid w:val="00CD3FD1"/>
    <w:rsid w:val="00D010B5"/>
    <w:rsid w:val="00D07BF3"/>
    <w:rsid w:val="00D17BF0"/>
    <w:rsid w:val="00D25EA4"/>
    <w:rsid w:val="00D340DC"/>
    <w:rsid w:val="00D367F5"/>
    <w:rsid w:val="00D4558D"/>
    <w:rsid w:val="00D66AC0"/>
    <w:rsid w:val="00DD35C8"/>
    <w:rsid w:val="00E27F39"/>
    <w:rsid w:val="00E35CD5"/>
    <w:rsid w:val="00EE611F"/>
    <w:rsid w:val="00EF5D8D"/>
    <w:rsid w:val="00F8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C1CBD"/>
  <w15:docId w15:val="{36ED1207-81F0-4D38-9DBE-24430518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Calibri" w:hAnsi="Arial Unicode MS" w:cs="Arial Unicode MS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47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7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7C2"/>
  </w:style>
  <w:style w:type="paragraph" w:styleId="Footer">
    <w:name w:val="footer"/>
    <w:basedOn w:val="Normal"/>
    <w:link w:val="FooterChar"/>
    <w:uiPriority w:val="99"/>
    <w:unhideWhenUsed/>
    <w:rsid w:val="003B47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7C2"/>
  </w:style>
  <w:style w:type="character" w:styleId="Hyperlink">
    <w:name w:val="Hyperlink"/>
    <w:uiPriority w:val="99"/>
    <w:unhideWhenUsed/>
    <w:rsid w:val="008D0F5A"/>
    <w:rPr>
      <w:color w:val="0000FF"/>
      <w:u w:val="single"/>
    </w:rPr>
  </w:style>
  <w:style w:type="table" w:styleId="TableGrid">
    <w:name w:val="Table Grid"/>
    <w:basedOn w:val="TableNormal"/>
    <w:uiPriority w:val="59"/>
    <w:rsid w:val="00CD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tla\Desktop\&#1504;&#1497;&#1497;&#1512;%20&#1502;&#1499;&#1514;&#1489;&#1497;&#150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</Template>
  <TotalTime>1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doritla</dc:creator>
  <cp:lastModifiedBy>Adva Simantov Damti</cp:lastModifiedBy>
  <cp:revision>2</cp:revision>
  <cp:lastPrinted>2016-08-29T12:09:00Z</cp:lastPrinted>
  <dcterms:created xsi:type="dcterms:W3CDTF">2021-01-12T12:09:00Z</dcterms:created>
  <dcterms:modified xsi:type="dcterms:W3CDTF">2021-01-12T12:09:00Z</dcterms:modified>
</cp:coreProperties>
</file>